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commentsExtensible.xml" ContentType="application/vnd.openxmlformats-officedocument.wordprocessingml.commentsExtensibl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Технические требования </w:t>
      </w:r>
      <w:r>
        <w:rPr>
          <w:rFonts w:eastAsia="Calibri"/>
          <w:b/>
          <w:sz w:val="26"/>
          <w:szCs w:val="26"/>
        </w:rPr>
        <w:br/>
        <w:t xml:space="preserve">на поставку насосного оборудования</w:t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</w:rPr>
      </w:r>
    </w:p>
    <w:p>
      <w:pPr>
        <w:pStyle w:val="754"/>
        <w:jc w:val="center"/>
        <w:keepLines/>
        <w:keepNext/>
        <w:rPr>
          <w:rFonts w:eastAsia="Calibri"/>
          <w:b/>
          <w:bCs/>
          <w:color w:val="000000" w:themeColor="text1"/>
          <w:sz w:val="26"/>
          <w:szCs w:val="26"/>
        </w:rPr>
      </w:pPr>
      <w:r>
        <w:rPr>
          <w:b/>
          <w:bCs/>
          <w:sz w:val="26"/>
          <w:szCs w:val="26"/>
        </w:rPr>
        <w:t xml:space="preserve">«ОКПД2 28.13.14  Поставка насосного оборудования для </w:t>
      </w:r>
      <w:r>
        <w:rPr>
          <w:rFonts w:eastAsia="Calibri"/>
          <w:b/>
          <w:color w:val="000000" w:themeColor="text1"/>
          <w:sz w:val="26"/>
          <w:szCs w:val="26"/>
        </w:rPr>
        <w:t xml:space="preserve">для реализации проекта </w:t>
      </w:r>
      <w:r>
        <w:rPr>
          <w:rFonts w:eastAsia="Calibri"/>
          <w:b/>
          <w:bCs/>
          <w:color w:val="000000" w:themeColor="text1"/>
          <w:sz w:val="26"/>
          <w:szCs w:val="26"/>
        </w:rPr>
      </w:r>
      <w:r>
        <w:rPr>
          <w:rFonts w:eastAsia="Calibri"/>
          <w:b/>
          <w:bCs/>
          <w:color w:val="000000" w:themeColor="text1"/>
          <w:sz w:val="26"/>
          <w:szCs w:val="26"/>
        </w:rPr>
      </w:r>
    </w:p>
    <w:p>
      <w:pPr>
        <w:jc w:val="center"/>
        <w:keepLines/>
        <w:keepNext/>
        <w:rPr>
          <w:b/>
          <w:bCs/>
          <w:sz w:val="26"/>
          <w:szCs w:val="26"/>
        </w:rPr>
      </w:pPr>
      <w:r>
        <w:rPr>
          <w:rFonts w:eastAsia="Calibri"/>
          <w:b/>
          <w:color w:val="000000" w:themeColor="text1"/>
          <w:sz w:val="26"/>
          <w:szCs w:val="26"/>
        </w:rPr>
      </w:r>
      <w:r>
        <w:rPr>
          <w:rFonts w:eastAsia="Calibri"/>
          <w:b/>
          <w:color w:val="000000" w:themeColor="text1"/>
          <w:sz w:val="26"/>
          <w:szCs w:val="26"/>
        </w:rPr>
        <w:t xml:space="preserve">P_505-ПГРЭС-162</w:t>
      </w:r>
      <w:r>
        <w:rPr>
          <w:rFonts w:eastAsia="Calibri"/>
          <w:b/>
          <w:color w:val="000000" w:themeColor="text1"/>
          <w:sz w:val="26"/>
          <w:szCs w:val="26"/>
        </w:rPr>
        <w:t xml:space="preserve"> СП «Партизанская ГРЭС», г. Партизанск"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center"/>
        <w:keepLines/>
        <w:keepNext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center"/>
        <w:keepLines/>
        <w:keepNext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Лот № </w:t>
      </w:r>
      <w:r>
        <w:rPr>
          <w:b/>
          <w:bCs/>
          <w:sz w:val="26"/>
          <w:szCs w:val="26"/>
        </w:rPr>
        <w:t xml:space="preserve">22216043-ТПИР ОТМ-2026-ДГК 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rPr>
          <w:sz w:val="26"/>
          <w:szCs w:val="26"/>
        </w:rPr>
      </w:pPr>
      <w:r>
        <w:br w:type="page" w:clear="all"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b/>
        </w:rPr>
      </w:pPr>
      <w:r>
        <w:rPr>
          <w:b/>
        </w:rPr>
        <w:t xml:space="preserve">СОДЕРЖАНИЕ</w:t>
      </w:r>
      <w:r>
        <w:rPr>
          <w:b/>
        </w:rPr>
      </w:r>
      <w:r>
        <w:rPr>
          <w:b/>
        </w:rPr>
      </w:r>
    </w:p>
    <w:sdt>
      <w:sdtPr>
        <w15:appearance w15:val="boundingBox"/>
        <w:id w:val="1102847337"/>
        <w:docPartObj>
          <w:docPartGallery w:val="Table of Contents"/>
          <w:docPartUnique w:val="true"/>
        </w:docPartObj>
        <w:rPr/>
      </w:sdtPr>
      <w:sdtContent>
        <w:p>
          <w:pPr>
            <w:pStyle w:val="992"/>
            <w:tabs>
              <w:tab w:val="left" w:pos="560" w:leader="none"/>
              <w:tab w:val="right" w:pos="9911" w:leader="dot"/>
            </w:tabs>
            <w:rPr>
              <w:rFonts w:cs="Times New Roman"/>
              <w:b w:val="0"/>
              <w:bCs w:val="0"/>
              <w:sz w:val="22"/>
              <w:szCs w:val="22"/>
            </w:rPr>
          </w:pPr>
          <w:r>
            <w:fldChar w:fldCharType="begin"/>
          </w:r>
          <w:r>
            <w:rPr>
              <w:rStyle w:val="961"/>
              <w:rFonts w:eastAsia="Times New Roman" w:cs="Times New Roman"/>
            </w:rPr>
            <w:instrText xml:space="preserve"> TOC \z \o "1-4" \u \h</w:instrText>
          </w:r>
          <w:r>
            <w:rPr>
              <w:rStyle w:val="961"/>
              <w:rFonts w:eastAsia="Times New Roman" w:cs="Times New Roman"/>
            </w:rPr>
            <w:fldChar w:fldCharType="separate"/>
          </w:r>
          <w:hyperlink w:tooltip="#_Toc75446566" w:anchor="_Toc75446566" w:history="1">
            <w:r>
              <w:rPr>
                <w:rStyle w:val="961"/>
                <w:rFonts w:eastAsia="Times New Roman" w:cs="Times New Roman"/>
              </w:rPr>
              <w:t xml:space="preserve">1.</w:t>
            </w:r>
            <w:r>
              <w:rPr>
                <w:rStyle w:val="961"/>
                <w:rFonts w:cs="Times New Roman" w:eastAsiaTheme="minorEastAsia"/>
                <w:b w:val="0"/>
                <w:bCs w:val="0"/>
                <w:sz w:val="22"/>
                <w:szCs w:val="22"/>
              </w:rPr>
              <w:tab/>
            </w:r>
            <w:r>
              <w:fldChar w:fldCharType="begin"/>
            </w:r>
            <w:r>
              <w:instrText xml:space="preserve">PAGEREF _Toc75446566 \h</w:instrText>
            </w:r>
            <w:r>
              <w:fldChar w:fldCharType="separate"/>
            </w:r>
            <w:r>
              <w:rPr>
                <w:rStyle w:val="961"/>
                <w:rFonts w:cs="Times New Roman" w:eastAsiaTheme="minorEastAsia"/>
              </w:rPr>
              <w:t xml:space="preserve">Общие сведения</w:t>
            </w:r>
            <w:r>
              <w:rPr>
                <w:rStyle w:val="961"/>
                <w:rFonts w:cs="Times New Roman" w:eastAsiaTheme="minorEastAsia"/>
              </w:rPr>
              <w:tab/>
              <w:t xml:space="preserve">4</w:t>
            </w:r>
            <w:r>
              <w:fldChar w:fldCharType="end"/>
            </w:r>
          </w:hyperlink>
          <w:r>
            <w:rPr>
              <w:rFonts w:cs="Times New Roman"/>
              <w:b w:val="0"/>
              <w:bCs w:val="0"/>
              <w:sz w:val="22"/>
              <w:szCs w:val="22"/>
            </w:rPr>
          </w:r>
          <w:r>
            <w:rPr>
              <w:rFonts w:cs="Times New Roman"/>
              <w:b w:val="0"/>
              <w:bCs w:val="0"/>
              <w:sz w:val="22"/>
              <w:szCs w:val="22"/>
            </w:rPr>
          </w:r>
        </w:p>
        <w:p>
          <w:pPr>
            <w:pStyle w:val="1003"/>
            <w:tabs>
              <w:tab w:val="left" w:pos="1120" w:leader="none"/>
              <w:tab w:val="right" w:pos="9911" w:leader="dot"/>
            </w:tabs>
            <w:rPr>
              <w:rFonts w:cs="Times New Roman"/>
              <w:sz w:val="22"/>
              <w:szCs w:val="22"/>
            </w:rPr>
          </w:pPr>
          <w:r/>
          <w:hyperlink w:tooltip="#_Toc75446567" w:anchor="_Toc75446567" w:history="1">
            <w:r>
              <w:rPr>
                <w:rStyle w:val="961"/>
                <w:rFonts w:cs="Times New Roman" w:eastAsiaTheme="minorEastAsia"/>
                <w:iCs/>
              </w:rPr>
              <w:t xml:space="preserve">1.1.</w:t>
            </w:r>
            <w:r>
              <w:rPr>
                <w:rStyle w:val="961"/>
                <w:rFonts w:cs="Times New Roman" w:eastAsiaTheme="minorEastAsia"/>
                <w:sz w:val="22"/>
                <w:szCs w:val="22"/>
              </w:rPr>
              <w:tab/>
            </w:r>
            <w:r>
              <w:fldChar w:fldCharType="begin"/>
            </w:r>
            <w:r>
              <w:instrText xml:space="preserve">PAGEREF _Toc75446567 \h</w:instrText>
            </w:r>
            <w:r>
              <w:fldChar w:fldCharType="separate"/>
            </w:r>
            <w:r>
              <w:rPr>
                <w:rStyle w:val="961"/>
                <w:rFonts w:cs="Times New Roman" w:eastAsiaTheme="minorEastAsia"/>
              </w:rPr>
              <w:t xml:space="preserve">Обозначения и сокращения</w:t>
            </w:r>
            <w:r>
              <w:rPr>
                <w:rStyle w:val="961"/>
                <w:rFonts w:cs="Times New Roman" w:eastAsiaTheme="minorEastAsia"/>
              </w:rPr>
              <w:tab/>
              <w:t xml:space="preserve">4</w:t>
            </w:r>
            <w:r>
              <w:fldChar w:fldCharType="end"/>
            </w:r>
          </w:hyperlink>
          <w:r>
            <w:rPr>
              <w:rFonts w:cs="Times New Roman"/>
              <w:sz w:val="22"/>
              <w:szCs w:val="22"/>
            </w:rPr>
          </w:r>
          <w:r>
            <w:rPr>
              <w:rFonts w:cs="Times New Roman"/>
              <w:sz w:val="22"/>
              <w:szCs w:val="22"/>
            </w:rPr>
          </w:r>
        </w:p>
        <w:p>
          <w:pPr>
            <w:pStyle w:val="1003"/>
            <w:tabs>
              <w:tab w:val="left" w:pos="1120" w:leader="none"/>
              <w:tab w:val="right" w:pos="9911" w:leader="dot"/>
            </w:tabs>
            <w:rPr>
              <w:rFonts w:cs="Times New Roman"/>
              <w:sz w:val="22"/>
              <w:szCs w:val="22"/>
            </w:rPr>
          </w:pPr>
          <w:r/>
          <w:hyperlink w:tooltip="#_Toc75446568" w:anchor="_Toc75446568" w:history="1">
            <w:r>
              <w:rPr>
                <w:rStyle w:val="961"/>
                <w:rFonts w:cs="Times New Roman" w:eastAsiaTheme="minorEastAsia"/>
                <w:iCs/>
              </w:rPr>
              <w:t xml:space="preserve">1.2.</w:t>
            </w:r>
            <w:r>
              <w:rPr>
                <w:rStyle w:val="961"/>
                <w:rFonts w:cs="Times New Roman" w:eastAsiaTheme="minorEastAsia"/>
                <w:sz w:val="22"/>
                <w:szCs w:val="22"/>
              </w:rPr>
              <w:tab/>
            </w:r>
            <w:r>
              <w:fldChar w:fldCharType="begin"/>
            </w:r>
            <w:r>
              <w:instrText xml:space="preserve">PAGEREF _Toc75446568 \h</w:instrText>
            </w:r>
            <w:r>
              <w:fldChar w:fldCharType="separate"/>
            </w:r>
            <w:r>
              <w:rPr>
                <w:rStyle w:val="961"/>
                <w:rFonts w:cs="Times New Roman" w:eastAsiaTheme="minorEastAsia"/>
              </w:rPr>
              <w:t xml:space="preserve">Наименование закупаемой продукции</w:t>
            </w:r>
            <w:r>
              <w:rPr>
                <w:rStyle w:val="961"/>
                <w:rFonts w:cs="Times New Roman" w:eastAsiaTheme="minorEastAsia"/>
              </w:rPr>
              <w:tab/>
              <w:t xml:space="preserve">5</w:t>
            </w:r>
            <w:r>
              <w:fldChar w:fldCharType="end"/>
            </w:r>
          </w:hyperlink>
          <w:r>
            <w:rPr>
              <w:rFonts w:cs="Times New Roman"/>
              <w:sz w:val="22"/>
              <w:szCs w:val="22"/>
            </w:rPr>
          </w:r>
          <w:r>
            <w:rPr>
              <w:rFonts w:cs="Times New Roman"/>
              <w:sz w:val="22"/>
              <w:szCs w:val="22"/>
            </w:rPr>
          </w:r>
        </w:p>
        <w:p>
          <w:pPr>
            <w:pStyle w:val="1003"/>
            <w:tabs>
              <w:tab w:val="left" w:pos="1120" w:leader="none"/>
              <w:tab w:val="right" w:pos="9911" w:leader="dot"/>
            </w:tabs>
            <w:rPr>
              <w:rFonts w:cs="Times New Roman"/>
              <w:sz w:val="22"/>
              <w:szCs w:val="22"/>
            </w:rPr>
          </w:pPr>
          <w:r/>
          <w:hyperlink w:tooltip="#_Toc75446569" w:anchor="_Toc75446569" w:history="1">
            <w:r>
              <w:rPr>
                <w:rStyle w:val="961"/>
                <w:rFonts w:cs="Times New Roman" w:eastAsiaTheme="minorEastAsia"/>
                <w:iCs/>
              </w:rPr>
              <w:t xml:space="preserve">1.3.</w:t>
            </w:r>
            <w:r>
              <w:rPr>
                <w:rStyle w:val="961"/>
                <w:rFonts w:cs="Times New Roman" w:eastAsiaTheme="minorEastAsia"/>
                <w:sz w:val="22"/>
                <w:szCs w:val="22"/>
              </w:rPr>
              <w:tab/>
            </w:r>
            <w:r>
              <w:fldChar w:fldCharType="begin"/>
            </w:r>
            <w:r>
              <w:instrText xml:space="preserve">PAGEREF _Toc75446569 \h</w:instrText>
            </w:r>
            <w:r>
              <w:fldChar w:fldCharType="separate"/>
            </w:r>
            <w:r>
              <w:rPr>
                <w:rStyle w:val="961"/>
                <w:rFonts w:cs="Times New Roman" w:eastAsiaTheme="minorEastAsia"/>
              </w:rPr>
              <w:t xml:space="preserve">Цель использования закупаемой продукции </w:t>
            </w:r>
            <w:r>
              <w:rPr>
                <w:rStyle w:val="961"/>
                <w:rFonts w:cs="Times New Roman" w:eastAsiaTheme="minorEastAsia"/>
              </w:rPr>
              <w:tab/>
              <w:t xml:space="preserve">5</w:t>
            </w:r>
            <w:r>
              <w:fldChar w:fldCharType="end"/>
            </w:r>
          </w:hyperlink>
          <w:r>
            <w:rPr>
              <w:rFonts w:cs="Times New Roman"/>
              <w:sz w:val="22"/>
              <w:szCs w:val="22"/>
            </w:rPr>
          </w:r>
          <w:r>
            <w:rPr>
              <w:rFonts w:cs="Times New Roman"/>
              <w:sz w:val="22"/>
              <w:szCs w:val="22"/>
            </w:rPr>
          </w:r>
        </w:p>
        <w:p>
          <w:pPr>
            <w:pStyle w:val="1003"/>
            <w:tabs>
              <w:tab w:val="left" w:pos="1120" w:leader="none"/>
              <w:tab w:val="right" w:pos="9911" w:leader="dot"/>
            </w:tabs>
            <w:rPr>
              <w:rFonts w:cs="Times New Roman"/>
              <w:sz w:val="22"/>
              <w:szCs w:val="22"/>
            </w:rPr>
          </w:pPr>
          <w:r/>
          <w:hyperlink w:tooltip="#_Toc75446571" w:anchor="_Toc75446571" w:history="1">
            <w:r>
              <w:rPr>
                <w:rStyle w:val="961"/>
                <w:rFonts w:cs="Times New Roman" w:eastAsiaTheme="minorEastAsia"/>
                <w:iCs/>
              </w:rPr>
              <w:t xml:space="preserve">1.4.</w:t>
            </w:r>
            <w:r>
              <w:rPr>
                <w:rStyle w:val="961"/>
                <w:rFonts w:cs="Times New Roman" w:eastAsiaTheme="minorEastAsia"/>
                <w:sz w:val="22"/>
                <w:szCs w:val="22"/>
              </w:rPr>
              <w:tab/>
            </w:r>
            <w:r>
              <w:fldChar w:fldCharType="begin"/>
            </w:r>
            <w:r>
              <w:instrText xml:space="preserve">PAGEREF _Toc75446571 \h</w:instrText>
            </w:r>
            <w:r>
              <w:fldChar w:fldCharType="separate"/>
            </w:r>
            <w:r>
              <w:rPr>
                <w:rStyle w:val="961"/>
                <w:rFonts w:cs="Times New Roman" w:eastAsiaTheme="minorEastAsia"/>
              </w:rPr>
      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 </w:t>
            </w:r>
            <w:r>
              <w:rPr>
                <w:rStyle w:val="961"/>
                <w:rFonts w:cs="Times New Roman" w:eastAsiaTheme="minorEastAsia"/>
              </w:rPr>
              <w:tab/>
              <w:t xml:space="preserve">5</w:t>
            </w:r>
            <w:r>
              <w:fldChar w:fldCharType="end"/>
            </w:r>
          </w:hyperlink>
          <w:r>
            <w:rPr>
              <w:rFonts w:cs="Times New Roman"/>
              <w:sz w:val="22"/>
              <w:szCs w:val="22"/>
            </w:rPr>
          </w:r>
          <w:r>
            <w:rPr>
              <w:rFonts w:cs="Times New Roman"/>
              <w:sz w:val="22"/>
              <w:szCs w:val="22"/>
            </w:rPr>
          </w:r>
        </w:p>
        <w:p>
          <w:pPr>
            <w:pStyle w:val="1003"/>
            <w:tabs>
              <w:tab w:val="left" w:pos="1120" w:leader="none"/>
              <w:tab w:val="right" w:pos="9911" w:leader="dot"/>
            </w:tabs>
            <w:rPr>
              <w:rFonts w:cs="Times New Roman"/>
              <w:sz w:val="22"/>
              <w:szCs w:val="22"/>
            </w:rPr>
          </w:pPr>
          <w:r/>
          <w:hyperlink w:tooltip="#_Toc75446572" w:anchor="_Toc75446572" w:history="1">
            <w:r>
              <w:rPr>
                <w:rStyle w:val="961"/>
                <w:rFonts w:cs="Times New Roman" w:eastAsiaTheme="minorEastAsia"/>
                <w:iCs/>
              </w:rPr>
              <w:t xml:space="preserve">1.5.</w:t>
            </w:r>
            <w:r>
              <w:rPr>
                <w:rStyle w:val="961"/>
                <w:rFonts w:cs="Times New Roman" w:eastAsiaTheme="minorEastAsia"/>
                <w:sz w:val="22"/>
                <w:szCs w:val="22"/>
              </w:rPr>
              <w:tab/>
            </w:r>
            <w:r>
              <w:fldChar w:fldCharType="begin"/>
            </w:r>
            <w:r>
              <w:instrText xml:space="preserve">PAGEREF _Toc75446572 \h</w:instrText>
            </w:r>
            <w:r>
              <w:fldChar w:fldCharType="separate"/>
            </w:r>
            <w:r>
              <w:rPr>
                <w:rStyle w:val="961"/>
                <w:rFonts w:cs="Times New Roman" w:eastAsiaTheme="minorEastAsia"/>
              </w:rPr>
              <w:t xml:space="preserve">Иные требования и сведения общего характера</w:t>
            </w:r>
            <w:r>
              <w:rPr>
                <w:rStyle w:val="961"/>
                <w:rFonts w:cs="Times New Roman" w:eastAsiaTheme="minorEastAsia"/>
              </w:rPr>
              <w:tab/>
              <w:t xml:space="preserve">5</w:t>
            </w:r>
            <w:r>
              <w:fldChar w:fldCharType="end"/>
            </w:r>
          </w:hyperlink>
          <w:r>
            <w:rPr>
              <w:rFonts w:cs="Times New Roman"/>
              <w:sz w:val="22"/>
              <w:szCs w:val="22"/>
            </w:rPr>
          </w:r>
          <w:r>
            <w:rPr>
              <w:rFonts w:cs="Times New Roman"/>
              <w:sz w:val="22"/>
              <w:szCs w:val="22"/>
            </w:rPr>
          </w:r>
        </w:p>
        <w:p>
          <w:pPr>
            <w:pStyle w:val="992"/>
            <w:tabs>
              <w:tab w:val="left" w:pos="560" w:leader="none"/>
              <w:tab w:val="right" w:pos="9911" w:leader="dot"/>
            </w:tabs>
            <w:rPr>
              <w:rFonts w:cs="Times New Roman"/>
              <w:b w:val="0"/>
              <w:bCs w:val="0"/>
              <w:sz w:val="22"/>
              <w:szCs w:val="22"/>
            </w:rPr>
          </w:pPr>
          <w:r/>
          <w:hyperlink w:tooltip="#_Toc75446573" w:anchor="_Toc75446573" w:history="1">
            <w:r>
              <w:rPr>
                <w:rStyle w:val="961"/>
                <w:rFonts w:cs="Times New Roman" w:eastAsiaTheme="minorEastAsia"/>
              </w:rPr>
              <w:t xml:space="preserve">2.</w:t>
            </w:r>
            <w:r>
              <w:rPr>
                <w:rStyle w:val="961"/>
                <w:rFonts w:cs="Times New Roman" w:eastAsiaTheme="minorEastAsia"/>
                <w:b w:val="0"/>
                <w:bCs w:val="0"/>
                <w:sz w:val="22"/>
                <w:szCs w:val="22"/>
              </w:rPr>
              <w:tab/>
            </w:r>
            <w:r>
              <w:rPr>
                <w:rStyle w:val="961"/>
                <w:rFonts w:cs="Times New Roman" w:eastAsiaTheme="minorEastAsia"/>
                <w:iCs/>
              </w:rPr>
              <w:t xml:space="preserve">Требования к продукции</w:t>
            </w:r>
            <w:r>
              <w:fldChar w:fldCharType="begin"/>
            </w:r>
            <w:r>
              <w:instrText xml:space="preserve">PAGEREF _Toc75446573 \h</w:instrText>
            </w:r>
            <w:r>
              <w:fldChar w:fldCharType="separate"/>
            </w:r>
            <w:r>
              <w:rPr>
                <w:rStyle w:val="961"/>
                <w:rFonts w:cs="Times New Roman" w:eastAsiaTheme="minorEastAsia"/>
              </w:rPr>
              <w:tab/>
              <w:t xml:space="preserve">5</w:t>
            </w:r>
            <w:r>
              <w:fldChar w:fldCharType="end"/>
            </w:r>
          </w:hyperlink>
          <w:r>
            <w:rPr>
              <w:rFonts w:cs="Times New Roman"/>
              <w:b w:val="0"/>
              <w:bCs w:val="0"/>
              <w:sz w:val="22"/>
              <w:szCs w:val="22"/>
            </w:rPr>
          </w:r>
          <w:r>
            <w:rPr>
              <w:rFonts w:cs="Times New Roman"/>
              <w:b w:val="0"/>
              <w:bCs w:val="0"/>
              <w:sz w:val="22"/>
              <w:szCs w:val="22"/>
            </w:rPr>
          </w:r>
        </w:p>
        <w:p>
          <w:pPr>
            <w:pStyle w:val="1003"/>
            <w:tabs>
              <w:tab w:val="left" w:pos="1120" w:leader="none"/>
              <w:tab w:val="right" w:pos="9911" w:leader="dot"/>
            </w:tabs>
            <w:rPr>
              <w:rFonts w:cs="Times New Roman"/>
              <w:sz w:val="22"/>
              <w:szCs w:val="22"/>
            </w:rPr>
          </w:pPr>
          <w:r/>
          <w:hyperlink w:tooltip="#_Toc75446574" w:anchor="_Toc75446574" w:history="1">
            <w:r>
              <w:rPr>
                <w:rStyle w:val="961"/>
                <w:rFonts w:cs="Times New Roman" w:eastAsiaTheme="minorEastAsia"/>
                <w:iCs/>
              </w:rPr>
              <w:t xml:space="preserve">2.1.</w:t>
            </w:r>
            <w:r>
              <w:rPr>
                <w:rStyle w:val="961"/>
                <w:rFonts w:cs="Times New Roman" w:eastAsiaTheme="minorEastAsia"/>
                <w:sz w:val="22"/>
                <w:szCs w:val="22"/>
              </w:rPr>
              <w:tab/>
            </w:r>
            <w:r>
              <w:fldChar w:fldCharType="begin"/>
            </w:r>
            <w:r>
              <w:instrText xml:space="preserve">PAGEREF _Toc75446574 \h</w:instrText>
            </w:r>
            <w:r>
              <w:fldChar w:fldCharType="separate"/>
            </w:r>
            <w:r>
              <w:rPr>
                <w:rStyle w:val="961"/>
                <w:rFonts w:cs="Times New Roman" w:eastAsiaTheme="minorEastAsia"/>
              </w:rPr>
              <w:t xml:space="preserve">Требования к объемам и срокам поставки</w:t>
            </w:r>
            <w:r>
              <w:rPr>
                <w:rStyle w:val="961"/>
                <w:rFonts w:cs="Times New Roman" w:eastAsiaTheme="minorEastAsia"/>
              </w:rPr>
              <w:tab/>
              <w:t xml:space="preserve">5</w:t>
            </w:r>
            <w:r>
              <w:fldChar w:fldCharType="end"/>
            </w:r>
          </w:hyperlink>
          <w:r>
            <w:rPr>
              <w:rFonts w:cs="Times New Roman"/>
              <w:sz w:val="22"/>
              <w:szCs w:val="22"/>
            </w:rPr>
          </w:r>
          <w:r>
            <w:rPr>
              <w:rFonts w:cs="Times New Roman"/>
              <w:sz w:val="22"/>
              <w:szCs w:val="22"/>
            </w:rPr>
          </w:r>
        </w:p>
        <w:p>
          <w:pPr>
            <w:pStyle w:val="993"/>
            <w:tabs>
              <w:tab w:val="left" w:pos="1120" w:leader="none"/>
              <w:tab w:val="right" w:pos="9911" w:leader="dot"/>
            </w:tabs>
            <w:rPr>
              <w:rFonts w:cs="Times New Roman"/>
              <w:sz w:val="22"/>
              <w:szCs w:val="22"/>
            </w:rPr>
          </w:pPr>
          <w:r/>
          <w:hyperlink w:tooltip="#_Toc75446575" w:anchor="_Toc75446575" w:history="1">
            <w:r>
              <w:rPr>
                <w:rStyle w:val="961"/>
                <w:rFonts w:cs="Times New Roman" w:eastAsiaTheme="minorEastAsia"/>
              </w:rPr>
              <w:t xml:space="preserve">2.1.1.</w:t>
            </w:r>
            <w:r>
              <w:rPr>
                <w:rStyle w:val="961"/>
                <w:rFonts w:cs="Times New Roman" w:eastAsiaTheme="minorEastAsia"/>
                <w:sz w:val="22"/>
                <w:szCs w:val="22"/>
              </w:rPr>
              <w:tab/>
            </w:r>
            <w:r>
              <w:fldChar w:fldCharType="begin"/>
            </w:r>
            <w:r>
              <w:instrText xml:space="preserve">PAGEREF _Toc75446575 \h</w:instrText>
            </w:r>
            <w:r>
              <w:fldChar w:fldCharType="separate"/>
            </w:r>
            <w:r>
              <w:rPr>
                <w:rStyle w:val="961"/>
                <w:rFonts w:cs="Times New Roman" w:eastAsiaTheme="minorEastAsia"/>
              </w:rPr>
              <w:t xml:space="preserve">Перечень и объем закупаемой продукции</w:t>
            </w:r>
            <w:r>
              <w:rPr>
                <w:rStyle w:val="961"/>
                <w:rFonts w:cs="Times New Roman" w:eastAsiaTheme="minorEastAsia"/>
              </w:rPr>
              <w:tab/>
              <w:t xml:space="preserve">5</w:t>
            </w:r>
            <w:r>
              <w:fldChar w:fldCharType="end"/>
            </w:r>
          </w:hyperlink>
          <w:r>
            <w:rPr>
              <w:rFonts w:cs="Times New Roman"/>
              <w:sz w:val="22"/>
              <w:szCs w:val="22"/>
            </w:rPr>
          </w:r>
          <w:r>
            <w:rPr>
              <w:rFonts w:cs="Times New Roman"/>
              <w:sz w:val="22"/>
              <w:szCs w:val="22"/>
            </w:rPr>
          </w:r>
        </w:p>
        <w:p>
          <w:pPr>
            <w:pStyle w:val="992"/>
            <w:tabs>
              <w:tab w:val="right" w:pos="9911" w:leader="dot"/>
            </w:tabs>
            <w:rPr>
              <w:rFonts w:cs="Times New Roman"/>
              <w:b w:val="0"/>
              <w:bCs w:val="0"/>
              <w:sz w:val="22"/>
              <w:szCs w:val="22"/>
            </w:rPr>
          </w:pPr>
          <w:r/>
          <w:hyperlink w:tooltip="#_Toc75446576" w:anchor="_Toc75446576" w:history="1">
            <w:r>
              <w:fldChar w:fldCharType="begin"/>
            </w:r>
            <w:r>
              <w:instrText xml:space="preserve">PAGEREF _Toc75446576 \h</w:instrText>
            </w:r>
            <w:r>
              <w:fldChar w:fldCharType="separate"/>
            </w:r>
            <w:r>
              <w:rPr>
                <w:rStyle w:val="961"/>
                <w:rFonts w:cs="Times New Roman" w:eastAsiaTheme="minorEastAsia"/>
              </w:rPr>
              <w:t xml:space="preserve">Таблица 1.1 Перечень и объем закупаемой продукции</w:t>
            </w:r>
            <w:r>
              <w:rPr>
                <w:rStyle w:val="961"/>
                <w:rFonts w:cs="Times New Roman" w:eastAsiaTheme="minorEastAsia"/>
              </w:rPr>
              <w:tab/>
              <w:t xml:space="preserve">5</w:t>
            </w:r>
            <w:r>
              <w:fldChar w:fldCharType="end"/>
            </w:r>
          </w:hyperlink>
          <w:r>
            <w:rPr>
              <w:rFonts w:cs="Times New Roman"/>
              <w:b w:val="0"/>
              <w:bCs w:val="0"/>
              <w:sz w:val="22"/>
              <w:szCs w:val="22"/>
            </w:rPr>
          </w:r>
          <w:r>
            <w:rPr>
              <w:rFonts w:cs="Times New Roman"/>
              <w:b w:val="0"/>
              <w:bCs w:val="0"/>
              <w:sz w:val="22"/>
              <w:szCs w:val="22"/>
            </w:rPr>
          </w:r>
        </w:p>
        <w:p>
          <w:pPr>
            <w:pStyle w:val="992"/>
            <w:tabs>
              <w:tab w:val="right" w:pos="9911" w:leader="dot"/>
            </w:tabs>
            <w:rPr>
              <w:rFonts w:cs="Times New Roman"/>
              <w:b w:val="0"/>
              <w:bCs w:val="0"/>
              <w:sz w:val="22"/>
              <w:szCs w:val="22"/>
            </w:rPr>
          </w:pPr>
          <w:r/>
          <w:hyperlink w:tooltip="#_Toc75446577" w:anchor="_Toc75446577" w:history="1">
            <w:r>
              <w:fldChar w:fldCharType="begin"/>
            </w:r>
            <w:r>
              <w:instrText xml:space="preserve">PAGEREF _Toc75446577 \h</w:instrText>
            </w:r>
            <w:r>
              <w:fldChar w:fldCharType="separate"/>
            </w:r>
            <w:r>
              <w:rPr>
                <w:rStyle w:val="961"/>
                <w:rFonts w:cs="Times New Roman" w:eastAsiaTheme="minorEastAsia"/>
              </w:rPr>
              <w:t xml:space="preserve">Таблица 1.2 Перечень и объем закупаемых сопутствующих услуг</w:t>
            </w:r>
            <w:r>
              <w:rPr>
                <w:rStyle w:val="961"/>
                <w:rFonts w:cs="Times New Roman" w:eastAsiaTheme="minorEastAsia"/>
              </w:rPr>
              <w:tab/>
              <w:t xml:space="preserve">6</w:t>
            </w:r>
            <w:r>
              <w:fldChar w:fldCharType="end"/>
            </w:r>
          </w:hyperlink>
          <w:r>
            <w:rPr>
              <w:rFonts w:cs="Times New Roman"/>
              <w:b w:val="0"/>
              <w:bCs w:val="0"/>
              <w:sz w:val="22"/>
              <w:szCs w:val="22"/>
            </w:rPr>
          </w:r>
          <w:r>
            <w:rPr>
              <w:rFonts w:cs="Times New Roman"/>
              <w:b w:val="0"/>
              <w:bCs w:val="0"/>
              <w:sz w:val="22"/>
              <w:szCs w:val="22"/>
            </w:rPr>
          </w:r>
        </w:p>
        <w:p>
          <w:pPr>
            <w:pStyle w:val="993"/>
            <w:tabs>
              <w:tab w:val="left" w:pos="1120" w:leader="none"/>
              <w:tab w:val="right" w:pos="9911" w:leader="dot"/>
            </w:tabs>
            <w:rPr>
              <w:rFonts w:cs="Times New Roman"/>
              <w:sz w:val="22"/>
              <w:szCs w:val="22"/>
            </w:rPr>
          </w:pPr>
          <w:r/>
          <w:hyperlink w:tooltip="#_Toc75446578" w:anchor="_Toc75446578" w:history="1">
            <w:r>
              <w:rPr>
                <w:rStyle w:val="961"/>
                <w:rFonts w:cs="Times New Roman" w:eastAsiaTheme="minorEastAsia"/>
              </w:rPr>
              <w:t xml:space="preserve">2.1.2.</w:t>
            </w:r>
            <w:r>
              <w:rPr>
                <w:rStyle w:val="961"/>
                <w:rFonts w:cs="Times New Roman" w:eastAsiaTheme="minorEastAsia"/>
                <w:sz w:val="22"/>
                <w:szCs w:val="22"/>
              </w:rPr>
              <w:tab/>
            </w:r>
            <w:r>
              <w:fldChar w:fldCharType="begin"/>
            </w:r>
            <w:r>
              <w:instrText xml:space="preserve">PAGEREF _Toc75446578 \h</w:instrText>
            </w:r>
            <w:r>
              <w:fldChar w:fldCharType="separate"/>
            </w:r>
            <w:r>
              <w:rPr>
                <w:rStyle w:val="961"/>
                <w:rFonts w:cs="Times New Roman" w:eastAsiaTheme="minorEastAsia"/>
              </w:rPr>
              <w:t xml:space="preserve">Требования к срокам поставки продукции и оказания сопутствующих услуг</w:t>
            </w:r>
            <w:r>
              <w:rPr>
                <w:rStyle w:val="961"/>
                <w:rFonts w:cs="Times New Roman" w:eastAsiaTheme="minorEastAsia"/>
              </w:rPr>
              <w:tab/>
              <w:t xml:space="preserve">6</w:t>
            </w:r>
            <w:r>
              <w:fldChar w:fldCharType="end"/>
            </w:r>
          </w:hyperlink>
          <w:r>
            <w:rPr>
              <w:rFonts w:cs="Times New Roman"/>
              <w:sz w:val="22"/>
              <w:szCs w:val="22"/>
            </w:rPr>
          </w:r>
          <w:r>
            <w:rPr>
              <w:rFonts w:cs="Times New Roman"/>
              <w:sz w:val="22"/>
              <w:szCs w:val="22"/>
            </w:rPr>
          </w:r>
        </w:p>
        <w:p>
          <w:pPr>
            <w:pStyle w:val="992"/>
            <w:tabs>
              <w:tab w:val="right" w:pos="9911" w:leader="dot"/>
            </w:tabs>
            <w:rPr>
              <w:rFonts w:cs="Times New Roman"/>
              <w:b w:val="0"/>
              <w:bCs w:val="0"/>
              <w:sz w:val="22"/>
              <w:szCs w:val="22"/>
            </w:rPr>
          </w:pPr>
          <w:r/>
          <w:hyperlink w:tooltip="#_Toc75446579" w:anchor="_Toc75446579" w:history="1">
            <w:r>
              <w:fldChar w:fldCharType="begin"/>
            </w:r>
            <w:r>
              <w:instrText xml:space="preserve">PAGEREF _Toc75446579 \h</w:instrText>
            </w:r>
            <w:r>
              <w:fldChar w:fldCharType="separate"/>
            </w:r>
            <w:r>
              <w:rPr>
                <w:rStyle w:val="961"/>
                <w:rFonts w:cs="Times New Roman" w:eastAsiaTheme="minorEastAsia"/>
              </w:rPr>
              <w:t xml:space="preserve">Таблица 2.1 Требования по срокам поставки продукции</w:t>
            </w:r>
            <w:r>
              <w:rPr>
                <w:rStyle w:val="961"/>
                <w:rFonts w:cs="Times New Roman" w:eastAsiaTheme="minorEastAsia"/>
              </w:rPr>
              <w:tab/>
              <w:t xml:space="preserve">6</w:t>
            </w:r>
            <w:r>
              <w:fldChar w:fldCharType="end"/>
            </w:r>
          </w:hyperlink>
          <w:r>
            <w:rPr>
              <w:rFonts w:cs="Times New Roman"/>
              <w:b w:val="0"/>
              <w:bCs w:val="0"/>
              <w:sz w:val="22"/>
              <w:szCs w:val="22"/>
            </w:rPr>
          </w:r>
          <w:r>
            <w:rPr>
              <w:rFonts w:cs="Times New Roman"/>
              <w:b w:val="0"/>
              <w:bCs w:val="0"/>
              <w:sz w:val="22"/>
              <w:szCs w:val="22"/>
            </w:rPr>
          </w:r>
        </w:p>
        <w:p>
          <w:pPr>
            <w:pStyle w:val="992"/>
            <w:tabs>
              <w:tab w:val="right" w:pos="9911" w:leader="dot"/>
            </w:tabs>
            <w:rPr>
              <w:rFonts w:cs="Times New Roman"/>
              <w:b w:val="0"/>
              <w:bCs w:val="0"/>
              <w:sz w:val="22"/>
              <w:szCs w:val="22"/>
            </w:rPr>
          </w:pPr>
          <w:r/>
          <w:hyperlink w:tooltip="#_Toc75446580" w:anchor="_Toc75446580" w:history="1">
            <w:r>
              <w:fldChar w:fldCharType="begin"/>
            </w:r>
            <w:r>
              <w:instrText xml:space="preserve">PAGEREF _Toc75446580 \h</w:instrText>
            </w:r>
            <w:r>
              <w:fldChar w:fldCharType="separate"/>
            </w:r>
            <w:r>
              <w:rPr>
                <w:rStyle w:val="961"/>
                <w:rFonts w:cs="Times New Roman" w:eastAsiaTheme="minorEastAsia"/>
              </w:rPr>
              <w:t xml:space="preserve">Таблица 2.2 Требования по срокам оказания сопутствующих услуг</w:t>
            </w:r>
            <w:r>
              <w:rPr>
                <w:rStyle w:val="961"/>
                <w:rFonts w:cs="Times New Roman" w:eastAsiaTheme="minorEastAsia"/>
              </w:rPr>
              <w:tab/>
              <w:t xml:space="preserve">6</w:t>
            </w:r>
            <w:r>
              <w:fldChar w:fldCharType="end"/>
            </w:r>
          </w:hyperlink>
          <w:r>
            <w:rPr>
              <w:rFonts w:cs="Times New Roman"/>
              <w:b w:val="0"/>
              <w:bCs w:val="0"/>
              <w:sz w:val="22"/>
              <w:szCs w:val="22"/>
            </w:rPr>
          </w:r>
          <w:r>
            <w:rPr>
              <w:rFonts w:cs="Times New Roman"/>
              <w:b w:val="0"/>
              <w:bCs w:val="0"/>
              <w:sz w:val="22"/>
              <w:szCs w:val="22"/>
            </w:rPr>
          </w:r>
        </w:p>
        <w:p>
          <w:pPr>
            <w:pStyle w:val="1003"/>
            <w:tabs>
              <w:tab w:val="left" w:pos="1120" w:leader="none"/>
              <w:tab w:val="right" w:pos="9911" w:leader="dot"/>
            </w:tabs>
            <w:rPr>
              <w:rFonts w:cs="Times New Roman"/>
              <w:sz w:val="22"/>
              <w:szCs w:val="22"/>
            </w:rPr>
          </w:pPr>
          <w:r/>
          <w:hyperlink w:tooltip="#_Toc75446581" w:anchor="_Toc75446581" w:history="1">
            <w:r>
              <w:rPr>
                <w:rStyle w:val="961"/>
                <w:rFonts w:cs="Times New Roman" w:eastAsiaTheme="minorEastAsia"/>
                <w:iCs/>
              </w:rPr>
              <w:t xml:space="preserve">2.2.</w:t>
            </w:r>
            <w:r>
              <w:rPr>
                <w:rStyle w:val="961"/>
                <w:rFonts w:cs="Times New Roman" w:eastAsiaTheme="minorEastAsia"/>
                <w:sz w:val="22"/>
                <w:szCs w:val="22"/>
              </w:rPr>
              <w:tab/>
            </w:r>
            <w:r>
              <w:fldChar w:fldCharType="begin"/>
            </w:r>
            <w:r>
              <w:instrText xml:space="preserve">PAGEREF _Toc75446581 \h</w:instrText>
            </w:r>
            <w:r>
              <w:fldChar w:fldCharType="separate"/>
            </w:r>
            <w:r>
              <w:rPr>
                <w:rStyle w:val="961"/>
                <w:rFonts w:cs="Times New Roman" w:eastAsiaTheme="minorEastAsia"/>
              </w:rPr>
              <w:t xml:space="preserve">Требования к качеству продукции</w:t>
            </w:r>
            <w:r>
              <w:rPr>
                <w:rStyle w:val="961"/>
                <w:rFonts w:cs="Times New Roman" w:eastAsiaTheme="minorEastAsia"/>
              </w:rPr>
              <w:tab/>
              <w:t xml:space="preserve">7</w:t>
            </w:r>
            <w:r>
              <w:fldChar w:fldCharType="end"/>
            </w:r>
          </w:hyperlink>
          <w:r>
            <w:rPr>
              <w:rFonts w:cs="Times New Roman"/>
              <w:sz w:val="22"/>
              <w:szCs w:val="22"/>
            </w:rPr>
          </w:r>
          <w:r>
            <w:rPr>
              <w:rFonts w:cs="Times New Roman"/>
              <w:sz w:val="22"/>
              <w:szCs w:val="22"/>
            </w:rPr>
          </w:r>
        </w:p>
        <w:p>
          <w:pPr>
            <w:pStyle w:val="992"/>
            <w:tabs>
              <w:tab w:val="right" w:pos="9911" w:leader="dot"/>
            </w:tabs>
            <w:rPr>
              <w:rFonts w:cs="Times New Roman"/>
              <w:b w:val="0"/>
              <w:bCs w:val="0"/>
              <w:sz w:val="22"/>
              <w:szCs w:val="22"/>
            </w:rPr>
          </w:pPr>
          <w:r/>
          <w:hyperlink w:tooltip="#_Toc75446582" w:anchor="_Toc75446582" w:history="1">
            <w:r>
              <w:fldChar w:fldCharType="begin"/>
            </w:r>
            <w:r>
              <w:instrText xml:space="preserve">PAGEREF _Toc75446582 \h</w:instrText>
            </w:r>
            <w:r>
              <w:fldChar w:fldCharType="separate"/>
            </w:r>
            <w:r>
              <w:rPr>
                <w:rStyle w:val="961"/>
                <w:rFonts w:cs="Times New Roman" w:eastAsiaTheme="minorEastAsia"/>
              </w:rPr>
              <w:t xml:space="preserve">Таблица 3. Требования к продукции</w:t>
            </w:r>
            <w:r>
              <w:rPr>
                <w:rStyle w:val="961"/>
                <w:rFonts w:cs="Times New Roman" w:eastAsiaTheme="minorEastAsia"/>
              </w:rPr>
              <w:tab/>
              <w:t xml:space="preserve">7</w:t>
            </w:r>
            <w:r>
              <w:fldChar w:fldCharType="end"/>
            </w:r>
          </w:hyperlink>
          <w:r>
            <w:rPr>
              <w:rFonts w:cs="Times New Roman"/>
              <w:b w:val="0"/>
              <w:bCs w:val="0"/>
              <w:sz w:val="22"/>
              <w:szCs w:val="22"/>
            </w:rPr>
          </w:r>
          <w:r>
            <w:rPr>
              <w:rFonts w:cs="Times New Roman"/>
              <w:b w:val="0"/>
              <w:bCs w:val="0"/>
              <w:sz w:val="22"/>
              <w:szCs w:val="22"/>
            </w:rPr>
          </w:r>
        </w:p>
        <w:p>
          <w:pPr>
            <w:pStyle w:val="992"/>
            <w:tabs>
              <w:tab w:val="left" w:pos="560" w:leader="none"/>
              <w:tab w:val="right" w:pos="9911" w:leader="dot"/>
            </w:tabs>
            <w:rPr>
              <w:rFonts w:cs="Times New Roman"/>
              <w:b w:val="0"/>
              <w:bCs w:val="0"/>
              <w:sz w:val="22"/>
              <w:szCs w:val="22"/>
            </w:rPr>
          </w:pPr>
          <w:r/>
          <w:hyperlink w:tooltip="#_Toc75446583" w:anchor="_Toc75446583" w:history="1">
            <w:r>
              <w:rPr>
                <w:rStyle w:val="961"/>
                <w:rFonts w:cs="Times New Roman" w:eastAsiaTheme="minorEastAsia"/>
              </w:rPr>
              <w:t xml:space="preserve">3.</w:t>
            </w:r>
            <w:r>
              <w:rPr>
                <w:rStyle w:val="961"/>
                <w:rFonts w:cs="Times New Roman" w:eastAsiaTheme="minorEastAsia"/>
                <w:b w:val="0"/>
                <w:bCs w:val="0"/>
                <w:sz w:val="22"/>
                <w:szCs w:val="22"/>
              </w:rPr>
              <w:tab/>
            </w:r>
            <w:r>
              <w:fldChar w:fldCharType="begin"/>
            </w:r>
            <w:r>
              <w:instrText xml:space="preserve">PAGEREF _Toc75446583 \h</w:instrText>
            </w:r>
            <w:r>
              <w:fldChar w:fldCharType="separate"/>
            </w:r>
            <w:r>
              <w:rPr>
                <w:rStyle w:val="961"/>
                <w:rFonts w:cs="Times New Roman" w:eastAsiaTheme="minorEastAsia"/>
              </w:rPr>
              <w:t xml:space="preserve">Требования к документации по ценообразованию на этапе закупки</w:t>
            </w:r>
            <w:r>
              <w:rPr>
                <w:rStyle w:val="961"/>
                <w:rFonts w:cs="Times New Roman" w:eastAsiaTheme="minorEastAsia"/>
              </w:rPr>
              <w:tab/>
              <w:t xml:space="preserve">11</w:t>
            </w:r>
            <w:r>
              <w:fldChar w:fldCharType="end"/>
            </w:r>
          </w:hyperlink>
          <w:r>
            <w:rPr>
              <w:rFonts w:cs="Times New Roman"/>
              <w:b w:val="0"/>
              <w:bCs w:val="0"/>
              <w:sz w:val="22"/>
              <w:szCs w:val="22"/>
            </w:rPr>
          </w:r>
          <w:r>
            <w:rPr>
              <w:rFonts w:cs="Times New Roman"/>
              <w:b w:val="0"/>
              <w:bCs w:val="0"/>
              <w:sz w:val="22"/>
              <w:szCs w:val="22"/>
            </w:rPr>
          </w:r>
        </w:p>
        <w:p>
          <w:pPr>
            <w:pStyle w:val="992"/>
            <w:tabs>
              <w:tab w:val="left" w:pos="560" w:leader="none"/>
              <w:tab w:val="right" w:pos="9911" w:leader="dot"/>
            </w:tabs>
            <w:rPr>
              <w:rFonts w:cs="Times New Roman"/>
              <w:b w:val="0"/>
              <w:bCs w:val="0"/>
              <w:sz w:val="22"/>
              <w:szCs w:val="22"/>
            </w:rPr>
          </w:pPr>
          <w:r/>
          <w:hyperlink w:tooltip="#_Toc75446584" w:anchor="_Toc75446584" w:history="1">
            <w:r>
              <w:rPr>
                <w:rStyle w:val="961"/>
                <w:rFonts w:cs="Times New Roman" w:eastAsiaTheme="minorEastAsia"/>
              </w:rPr>
              <w:t xml:space="preserve">4.</w:t>
            </w:r>
            <w:r>
              <w:rPr>
                <w:rStyle w:val="961"/>
                <w:rFonts w:cs="Times New Roman" w:eastAsiaTheme="minorEastAsia"/>
                <w:b w:val="0"/>
                <w:bCs w:val="0"/>
                <w:sz w:val="22"/>
                <w:szCs w:val="22"/>
              </w:rPr>
              <w:tab/>
            </w:r>
            <w:r>
              <w:fldChar w:fldCharType="begin"/>
            </w:r>
            <w:r>
              <w:instrText xml:space="preserve">PAGEREF _Toc75446584 \h</w:instrText>
            </w:r>
            <w:r>
              <w:fldChar w:fldCharType="separate"/>
            </w:r>
            <w:r>
              <w:rPr>
                <w:rStyle w:val="961"/>
                <w:rFonts w:cs="Times New Roman" w:eastAsiaTheme="minorEastAsia"/>
              </w:rPr>
              <w:t xml:space="preserve">Требования к документации по ценообразованию на этапе заключения (исполнения) договора</w:t>
            </w:r>
            <w:r>
              <w:rPr>
                <w:rStyle w:val="961"/>
                <w:rFonts w:cs="Times New Roman" w:eastAsiaTheme="minorEastAsia"/>
              </w:rPr>
              <w:tab/>
              <w:t xml:space="preserve">12</w:t>
            </w:r>
            <w:r>
              <w:fldChar w:fldCharType="end"/>
            </w:r>
          </w:hyperlink>
          <w:r>
            <w:rPr>
              <w:rFonts w:cs="Times New Roman"/>
              <w:b w:val="0"/>
              <w:bCs w:val="0"/>
              <w:sz w:val="22"/>
              <w:szCs w:val="22"/>
            </w:rPr>
          </w:r>
          <w:r>
            <w:rPr>
              <w:rFonts w:cs="Times New Roman"/>
              <w:b w:val="0"/>
              <w:bCs w:val="0"/>
              <w:sz w:val="22"/>
              <w:szCs w:val="22"/>
            </w:rPr>
          </w:r>
        </w:p>
        <w:p>
          <w:pPr>
            <w:pStyle w:val="992"/>
            <w:tabs>
              <w:tab w:val="left" w:pos="560" w:leader="none"/>
              <w:tab w:val="right" w:pos="9911" w:leader="dot"/>
            </w:tabs>
            <w:rPr>
              <w:rFonts w:cs="Times New Roman"/>
              <w:b w:val="0"/>
              <w:bCs w:val="0"/>
              <w:sz w:val="22"/>
              <w:szCs w:val="22"/>
            </w:rPr>
          </w:pPr>
          <w:r/>
          <w:hyperlink w:tooltip="#_Toc75446585" w:anchor="_Toc75446585" w:history="1">
            <w:r>
              <w:rPr>
                <w:rStyle w:val="961"/>
                <w:rFonts w:cs="Times New Roman" w:eastAsiaTheme="minorEastAsia"/>
              </w:rPr>
              <w:t xml:space="preserve">5.</w:t>
            </w:r>
            <w:r>
              <w:rPr>
                <w:rStyle w:val="961"/>
                <w:rFonts w:cs="Times New Roman" w:eastAsiaTheme="minorEastAsia"/>
                <w:b w:val="0"/>
                <w:bCs w:val="0"/>
                <w:sz w:val="22"/>
                <w:szCs w:val="22"/>
              </w:rPr>
              <w:tab/>
            </w:r>
            <w:r>
              <w:rPr>
                <w:rStyle w:val="961"/>
                <w:rFonts w:cs="Times New Roman" w:eastAsiaTheme="minorEastAsia"/>
                <w:iCs/>
              </w:rPr>
              <w:t xml:space="preserve">Приложения</w:t>
            </w:r>
            <w:r>
              <w:fldChar w:fldCharType="begin"/>
            </w:r>
            <w:r>
              <w:instrText xml:space="preserve">PAGEREF _Toc75446585 \h</w:instrText>
            </w:r>
            <w:r>
              <w:fldChar w:fldCharType="separate"/>
            </w:r>
            <w:r>
              <w:rPr>
                <w:rStyle w:val="961"/>
                <w:rFonts w:cs="Times New Roman" w:eastAsiaTheme="minorEastAsia"/>
              </w:rPr>
              <w:tab/>
              <w:t xml:space="preserve">13</w:t>
            </w:r>
            <w:r>
              <w:fldChar w:fldCharType="end"/>
            </w:r>
          </w:hyperlink>
          <w:r>
            <w:rPr>
              <w:rStyle w:val="961"/>
              <w:rFonts w:eastAsia="Arial" w:cs="Times New Roman"/>
            </w:rPr>
            <w:fldChar w:fldCharType="end"/>
          </w:r>
          <w:r>
            <w:rPr>
              <w:rFonts w:cs="Times New Roman"/>
              <w:b w:val="0"/>
              <w:bCs w:val="0"/>
              <w:sz w:val="22"/>
              <w:szCs w:val="22"/>
            </w:rPr>
          </w:r>
          <w:r>
            <w:rPr>
              <w:rFonts w:cs="Times New Roman"/>
              <w:b w:val="0"/>
              <w:bCs w:val="0"/>
              <w:sz w:val="22"/>
              <w:szCs w:val="22"/>
            </w:rPr>
          </w:r>
        </w:p>
      </w:sdtContent>
    </w:sdt>
    <w:p>
      <w:pPr>
        <w:pStyle w:val="756"/>
        <w:ind w:left="0" w:firstLine="0"/>
        <w:tabs>
          <w:tab w:val="clear" w:pos="0" w:leader="none"/>
        </w:tabs>
        <w:rPr>
          <w:rFonts w:cs="Times New Roman"/>
          <w:b w:val="0"/>
          <w:i/>
        </w:rPr>
      </w:pPr>
      <w:r>
        <w:rPr>
          <w:rFonts w:cs="Times New Roman"/>
          <w:b w:val="0"/>
          <w:i/>
        </w:rPr>
      </w:r>
      <w:r>
        <w:rPr>
          <w:rFonts w:cs="Times New Roman"/>
          <w:b w:val="0"/>
          <w:i/>
        </w:rPr>
      </w:r>
      <w:r>
        <w:rPr>
          <w:rFonts w:cs="Times New Roman"/>
          <w:b w:val="0"/>
          <w:i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br w:type="page" w:clear="all"/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755"/>
        <w:ind w:left="357" w:hanging="357"/>
        <w:jc w:val="center"/>
        <w:keepLines/>
        <w:rPr>
          <w:rFonts w:ascii="Times New Roman" w:hAnsi="Times New Roman" w:cs="Times New Roman"/>
          <w:caps/>
          <w:color w:val="000000" w:themeColor="text1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bookmarkStart w:id="0" w:name="undefined"/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bookmarkStart w:id="0" w:name="undefined"/>
      <w:r>
        <w:rPr>
          <w:rFonts w:ascii="Times New Roman" w:hAnsi="Times New Roman" w:eastAsia="Times New Roman" w:cs="Times New Roman" w:eastAsiaTheme="minorEastAsia"/>
          <w:color w:val="000000" w:themeColor="text1"/>
          <w:highlight w:val="none"/>
        </w:rPr>
        <w:t xml:space="preserve">Общие сведения</w:t>
      </w:r>
      <w:bookmarkEnd w:id="0"/>
      <w:r>
        <w:rPr>
          <w:rFonts w:ascii="Times New Roman" w:hAnsi="Times New Roman" w:cs="Times New Roman"/>
          <w:caps/>
          <w:color w:val="000000" w:themeColor="text1"/>
          <w:highlight w:val="none"/>
        </w:rPr>
      </w:r>
      <w:r>
        <w:rPr>
          <w:rFonts w:ascii="Times New Roman" w:hAnsi="Times New Roman" w:cs="Times New Roman"/>
          <w:caps/>
          <w:color w:val="000000" w:themeColor="text1"/>
          <w:highlight w:val="none"/>
        </w:rPr>
      </w:r>
    </w:p>
    <w:p>
      <w:pPr>
        <w:pStyle w:val="758"/>
        <w:numPr>
          <w:ilvl w:val="1"/>
          <w:numId w:val="28"/>
        </w:numPr>
        <w:rPr>
          <w:rFonts w:ascii="Times New Roman" w:hAnsi="Times New Roman" w:cs="Times New Roman"/>
          <w:color w:val="000000" w:themeColor="text1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bookmarkStart w:id="0" w:name="undefined"/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bookmarkStart w:id="0" w:name="undefined"/>
      <w:r>
        <w:rPr>
          <w:rFonts w:ascii="Times New Roman" w:hAnsi="Times New Roman" w:eastAsia="Times New Roman" w:cs="Times New Roman" w:eastAsiaTheme="minorEastAsia"/>
          <w:color w:val="000000" w:themeColor="text1"/>
          <w:highlight w:val="none"/>
        </w:rPr>
        <w:t xml:space="preserve">Обозначения и сокращения</w:t>
      </w:r>
      <w:bookmarkEnd w:id="0"/>
      <w:r>
        <w:rPr>
          <w:rFonts w:ascii="Times New Roman" w:hAnsi="Times New Roman" w:cs="Times New Roman"/>
          <w:color w:val="000000" w:themeColor="text1"/>
          <w:highlight w:val="none"/>
        </w:rPr>
      </w:r>
      <w:r>
        <w:rPr>
          <w:rFonts w:ascii="Times New Roman" w:hAnsi="Times New Roman" w:cs="Times New Roman"/>
          <w:color w:val="000000" w:themeColor="text1"/>
          <w:highlight w:val="none"/>
        </w:rPr>
      </w:r>
    </w:p>
    <w:tbl>
      <w:tblPr>
        <w:tblW w:w="9783" w:type="dxa"/>
        <w:jc w:val="center"/>
        <w:tblLayout w:type="fixed"/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pPr>
            <w:r>
              <w:rPr>
                <w:rStyle w:val="948"/>
                <w:rFonts w:ascii="Times New Roman" w:hAnsi="Times New Roman" w:eastAsia="Times New Roman" w:cs="Times New Roman"/>
                <w:b w:val="0"/>
                <w:i w:val="0"/>
                <w:color w:val="000000" w:themeColor="text1"/>
                <w:sz w:val="28"/>
                <w:szCs w:val="28"/>
                <w:highlight w:val="none"/>
                <w:shd w:val="clear" w:color="auto" w:fill="auto"/>
              </w:rPr>
              <w:t xml:space="preserve">НУ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/>
                <w:iCs/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2"/>
                <w:szCs w:val="22"/>
                <w:highlight w:val="none"/>
              </w:rPr>
              <w:t xml:space="preserve">Насосная установка повышения давления</w:t>
            </w:r>
            <w:r>
              <w:rPr>
                <w:rFonts w:ascii="Times New Roman" w:hAnsi="Times New Roman" w:cs="Times New Roman"/>
                <w:b w:val="0"/>
                <w:bCs/>
                <w:iCs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/>
                <w:iCs/>
                <w:color w:val="000000" w:themeColor="text1"/>
                <w:sz w:val="22"/>
                <w:szCs w:val="22"/>
                <w:highlight w:val="none"/>
              </w:rPr>
            </w:r>
          </w:p>
        </w:tc>
      </w:tr>
      <w:tr>
        <w:tblPrEx/>
        <w:trPr>
          <w:cantSplit/>
          <w:jc w:val="center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none"/>
              </w:rPr>
              <w:t xml:space="preserve">НА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/>
                <w:iCs/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000000" w:themeColor="text1"/>
                <w:sz w:val="22"/>
                <w:szCs w:val="22"/>
                <w:highlight w:val="none"/>
              </w:rPr>
              <w:t xml:space="preserve">Насосный агрегат</w:t>
            </w:r>
            <w:r>
              <w:rPr>
                <w:rFonts w:ascii="Times New Roman" w:hAnsi="Times New Roman" w:cs="Times New Roman"/>
                <w:b w:val="0"/>
                <w:bCs/>
                <w:iCs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/>
                <w:iCs/>
                <w:color w:val="000000" w:themeColor="text1"/>
                <w:sz w:val="22"/>
                <w:szCs w:val="22"/>
                <w:highlight w:val="none"/>
              </w:rPr>
            </w:r>
          </w:p>
        </w:tc>
      </w:tr>
      <w:tr>
        <w:tblPrEx/>
        <w:trPr>
          <w:cantSplit/>
          <w:jc w:val="center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none"/>
              </w:rPr>
              <w:t xml:space="preserve">ДПН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/>
                <w:iCs/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000000" w:themeColor="text1"/>
                <w:sz w:val="22"/>
                <w:szCs w:val="22"/>
                <w:highlight w:val="none"/>
              </w:rPr>
              <w:t xml:space="preserve">Дренажный погружной насос</w:t>
            </w:r>
            <w:r>
              <w:rPr>
                <w:rFonts w:ascii="Times New Roman" w:hAnsi="Times New Roman" w:cs="Times New Roman"/>
                <w:b w:val="0"/>
                <w:bCs/>
                <w:iCs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/>
                <w:iCs/>
                <w:color w:val="000000" w:themeColor="text1"/>
                <w:sz w:val="22"/>
                <w:szCs w:val="22"/>
                <w:highlight w:val="none"/>
              </w:rPr>
            </w:r>
          </w:p>
        </w:tc>
      </w:tr>
      <w:tr>
        <w:tblPrEx/>
        <w:trPr>
          <w:cantSplit/>
          <w:jc w:val="center"/>
          <w:trHeight w:val="495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none"/>
              </w:rPr>
              <w:t xml:space="preserve">НОВ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rFonts w:ascii="Times New Roman" w:hAnsi="Times New Roman" w:eastAsia="Times New Roman" w:cs="Times New Roman"/>
                <w:iCs/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000000" w:themeColor="text1"/>
                <w:sz w:val="22"/>
                <w:szCs w:val="22"/>
                <w:highlight w:val="none"/>
              </w:rPr>
              <w:t xml:space="preserve">Насос осветлённой воды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18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none"/>
              </w:rPr>
              <w:t xml:space="preserve">ГрАТ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vMerge w:val="restart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rFonts w:ascii="Times New Roman" w:hAnsi="Times New Roman" w:eastAsia="Times New Roman" w:cs="Times New Roman"/>
                <w:bCs/>
                <w:iCs/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color w:val="000000" w:themeColor="text1"/>
                <w:sz w:val="22"/>
                <w:szCs w:val="22"/>
                <w:highlight w:val="none"/>
              </w:rPr>
              <w:t xml:space="preserve">Грунтовый насос, двухкорпусный.</w:t>
            </w:r>
            <w:r>
              <w:rPr>
                <w:rFonts w:ascii="Times New Roman" w:hAnsi="Times New Roman" w:eastAsia="Times New Roman" w:cs="Times New Roman"/>
                <w:bCs/>
                <w:iCs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color w:val="000000" w:themeColor="text1"/>
                <w:sz w:val="22"/>
                <w:szCs w:val="22"/>
                <w:highlight w:val="none"/>
              </w:rPr>
            </w:r>
          </w:p>
        </w:tc>
      </w:tr>
      <w:tr>
        <w:tblPrEx/>
        <w:trPr>
          <w:cantSplit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8"/>
                <w:szCs w:val="28"/>
                <w:highlight w:val="none"/>
              </w:rPr>
              <w:t xml:space="preserve">ГОСТ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2"/>
                <w:szCs w:val="22"/>
                <w:highlight w:val="none"/>
              </w:rPr>
              <w:t xml:space="preserve">Государственный стандарт;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2"/>
                <w:szCs w:val="22"/>
                <w:highlight w:val="none"/>
              </w:rPr>
            </w:r>
          </w:p>
        </w:tc>
      </w:tr>
      <w:tr>
        <w:tblPrEx/>
        <w:trPr>
          <w:cantSplit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/>
                <w:iCs/>
                <w:color w:val="000000" w:themeColor="text1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8"/>
                <w:szCs w:val="28"/>
                <w:highlight w:val="none"/>
              </w:rPr>
              <w:t xml:space="preserve">ЗИП</w:t>
            </w:r>
            <w:r>
              <w:rPr>
                <w:rFonts w:ascii="Times New Roman" w:hAnsi="Times New Roman" w:cs="Times New Roman"/>
                <w:b w:val="0"/>
                <w:bCs/>
                <w:iCs/>
                <w:color w:val="000000" w:themeColor="text1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/>
                <w:iCs/>
                <w:color w:val="000000" w:themeColor="text1"/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/>
                <w:iCs/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2"/>
                <w:szCs w:val="22"/>
                <w:highlight w:val="none"/>
              </w:rPr>
              <w:t xml:space="preserve">Запасные части, инструмент и принадлежности;</w:t>
            </w:r>
            <w:r>
              <w:rPr>
                <w:rFonts w:ascii="Times New Roman" w:hAnsi="Times New Roman" w:cs="Times New Roman"/>
                <w:b w:val="0"/>
                <w:bCs/>
                <w:iCs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/>
                <w:iCs/>
                <w:color w:val="000000" w:themeColor="text1"/>
                <w:sz w:val="22"/>
                <w:szCs w:val="22"/>
                <w:highlight w:val="none"/>
              </w:rPr>
            </w:r>
          </w:p>
        </w:tc>
      </w:tr>
      <w:tr>
        <w:tblPrEx/>
        <w:trPr>
          <w:cantSplit/>
          <w:jc w:val="center"/>
          <w:trHeight w:val="4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8"/>
                <w:szCs w:val="28"/>
                <w:highlight w:val="none"/>
              </w:rPr>
              <w:t xml:space="preserve">‍КПД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tabs>
                <w:tab w:val="left" w:pos="426" w:leader="none"/>
              </w:tabs>
              <w:rPr>
                <w:rFonts w:ascii="Times New Roman" w:hAnsi="Times New Roman" w:eastAsia="Times New Roman" w:cs="Times New Roman"/>
                <w:iCs/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2"/>
                <w:szCs w:val="22"/>
                <w:highlight w:val="none"/>
              </w:rPr>
              <w:t xml:space="preserve">Коэффициент полезного действия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18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vMerge w:val="restart"/>
            <w:textDirection w:val="lrTb"/>
            <w:noWrap w:val="false"/>
          </w:tcPr>
          <w:p>
            <w:pPr>
              <w:jc w:val="left"/>
              <w:spacing w:before="120" w:after="120"/>
              <w:widowControl w:val="off"/>
              <w:tabs>
                <w:tab w:val="left" w:pos="426" w:leader="none"/>
              </w:tabs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ТТ</w:t>
            </w:r>
            <w: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r>
            <w: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Технические требования</w:t>
            </w:r>
            <w:r>
              <w:rPr>
                <w:iCs/>
                <w:color w:val="000000" w:themeColor="text1"/>
                <w:sz w:val="24"/>
                <w:szCs w:val="24"/>
                <w:shd w:val="clear" w:color="auto" w:fill="ffffff"/>
              </w:rPr>
            </w:r>
            <w:r>
              <w:rPr>
                <w:iCs/>
                <w:color w:val="000000" w:themeColor="text1"/>
                <w:sz w:val="24"/>
                <w:szCs w:val="24"/>
                <w:shd w:val="clear" w:color="auto" w:fill="ffffff"/>
              </w:rPr>
            </w:r>
          </w:p>
        </w:tc>
      </w:tr>
      <w:tr>
        <w:tblPrEx/>
        <w:trPr>
          <w:trHeight w:val="55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vMerge w:val="restart"/>
            <w:textDirection w:val="lrTb"/>
            <w:noWrap w:val="false"/>
          </w:tcPr>
          <w:p>
            <w:pPr>
              <w:jc w:val="left"/>
              <w:spacing w:before="120" w:after="120"/>
              <w:widowControl w:val="off"/>
              <w:tabs>
                <w:tab w:val="left" w:pos="426" w:leader="none"/>
              </w:tabs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СП</w:t>
            </w:r>
            <w: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r>
            <w: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</w:pPr>
            <w:r>
              <w:rPr>
                <w:sz w:val="24"/>
                <w:szCs w:val="24"/>
              </w:rPr>
              <w:t xml:space="preserve">Структурное подразделение</w:t>
            </w:r>
            <w:r/>
          </w:p>
        </w:tc>
      </w:tr>
      <w:tr>
        <w:tblPrEx/>
        <w:trPr>
          <w:trHeight w:val="2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  <w:shd w:val="clear" w:color="auto" w:fill="ffffff"/>
              </w:rPr>
              <w:t xml:space="preserve">ПП РФ № 1875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  <w:shd w:val="clear" w:color="auto" w:fill="ffffff"/>
              </w:rPr>
              <w:t xml:space="preserve">Постановление Правительства Российск</w:t>
            </w:r>
            <w:r>
              <w:rPr>
                <w:bCs/>
                <w:iCs/>
                <w:sz w:val="24"/>
                <w:szCs w:val="24"/>
                <w:shd w:val="clear" w:color="auto" w:fill="ffffff"/>
              </w:rPr>
              <w:t xml:space="preserve">ой Федерации от 23 декабря 2024 г. N 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</w:tbl>
    <w:p>
      <w:pPr>
        <w:jc w:val="both"/>
        <w:keepLines/>
        <w:keepNext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jc w:val="both"/>
        <w:keepLines/>
        <w:keepNext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keepLines/>
        <w:keepNext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</w:rPr>
        <w:br w:type="page" w:clear="all"/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pStyle w:val="758"/>
        <w:numPr>
          <w:ilvl w:val="1"/>
          <w:numId w:val="28"/>
        </w:numPr>
        <w:rPr>
          <w:rFonts w:ascii="Times New Roman" w:hAnsi="Times New Roman" w:cs="Times New Roman"/>
          <w:color w:val="000000" w:themeColor="text1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bookmarkStart w:id="0" w:name="undefined"/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bookmarkStart w:id="0" w:name="undefined"/>
      <w:r>
        <w:rPr>
          <w:rFonts w:ascii="Times New Roman" w:hAnsi="Times New Roman" w:eastAsia="Times New Roman" w:cs="Times New Roman" w:eastAsiaTheme="minorEastAsia"/>
          <w:color w:val="000000" w:themeColor="text1"/>
          <w:highlight w:val="none"/>
        </w:rPr>
        <w:t xml:space="preserve">Наименование закупаемой продукции</w:t>
      </w:r>
      <w:bookmarkEnd w:id="0"/>
      <w:r>
        <w:rPr>
          <w:rFonts w:ascii="Times New Roman" w:hAnsi="Times New Roman" w:cs="Times New Roman"/>
          <w:color w:val="000000" w:themeColor="text1"/>
          <w:highlight w:val="none"/>
        </w:rPr>
      </w:r>
      <w:r>
        <w:rPr>
          <w:rFonts w:ascii="Times New Roman" w:hAnsi="Times New Roman" w:cs="Times New Roman"/>
          <w:color w:val="000000" w:themeColor="text1"/>
          <w:highlight w:val="none"/>
        </w:rPr>
      </w:r>
    </w:p>
    <w:p>
      <w:pPr>
        <w:jc w:val="left"/>
        <w:spacing w:before="120" w:after="120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highlight w:val="none"/>
        </w:rPr>
      </w:pPr>
      <w:r>
        <w:rPr>
          <w:rFonts w:ascii="Times New Roman" w:hAnsi="Times New Roman" w:eastAsia="Times New Roman" w:cs="Times New Roman" w:eastAsiaTheme="minorEastAsia"/>
          <w:color w:val="000000" w:themeColor="text1"/>
          <w:sz w:val="24"/>
          <w:szCs w:val="24"/>
          <w:highlight w:val="none"/>
        </w:rPr>
        <w:t xml:space="preserve">«ОКПД2 28.13.14  Поставка насосного оборудования для для реализации проекта </w:t>
      </w:r>
      <w:r>
        <w:rPr>
          <w:rFonts w:ascii="Times New Roman" w:hAnsi="Times New Roman" w:cs="Times New Roman"/>
          <w:color w:val="000000" w:themeColor="text1"/>
          <w:highlight w:val="none"/>
        </w:rPr>
      </w:r>
      <w:r>
        <w:rPr>
          <w:rFonts w:ascii="Times New Roman" w:hAnsi="Times New Roman" w:cs="Times New Roman"/>
          <w:color w:val="000000" w:themeColor="text1"/>
          <w:highlight w:val="none"/>
        </w:rPr>
      </w:r>
    </w:p>
    <w:p>
      <w:pPr>
        <w:jc w:val="left"/>
        <w:spacing w:before="120" w:after="120"/>
        <w:widowControl w:val="off"/>
        <w:tabs>
          <w:tab w:val="left" w:pos="426" w:leader="none"/>
        </w:tabs>
        <w:rPr>
          <w:rFonts w:ascii="Times New Roman" w:hAnsi="Times New Roman" w:cs="Times New Roman"/>
          <w:b w:val="0"/>
          <w:bCs/>
          <w:i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 w:eastAsiaTheme="minorEastAsia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 w:eastAsiaTheme="minorEastAsia"/>
          <w:color w:val="000000" w:themeColor="text1"/>
          <w:sz w:val="24"/>
          <w:szCs w:val="24"/>
          <w:highlight w:val="none"/>
        </w:rPr>
        <w:t xml:space="preserve">P_505-ПГРЭС-162</w:t>
      </w:r>
      <w:r>
        <w:rPr>
          <w:rFonts w:ascii="Times New Roman" w:hAnsi="Times New Roman" w:eastAsia="Times New Roman" w:cs="Times New Roman" w:eastAsiaTheme="minorEastAsia"/>
          <w:color w:val="000000" w:themeColor="text1"/>
          <w:sz w:val="24"/>
          <w:szCs w:val="24"/>
          <w:highlight w:val="none"/>
        </w:rPr>
        <w:t xml:space="preserve"> СП «Партизанская ГРЭС», г. Партизанск»</w:t>
      </w:r>
      <w:r>
        <w:rPr>
          <w:rFonts w:ascii="Times New Roman" w:hAnsi="Times New Roman" w:cs="Times New Roman"/>
          <w:b w:val="0"/>
          <w:bCs/>
          <w:i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/>
          <w:i w:val="0"/>
          <w:color w:val="000000" w:themeColor="text1"/>
          <w:sz w:val="24"/>
          <w:szCs w:val="24"/>
          <w:highlight w:val="none"/>
        </w:rPr>
      </w:r>
    </w:p>
    <w:p>
      <w:pPr>
        <w:pStyle w:val="758"/>
        <w:numPr>
          <w:ilvl w:val="1"/>
          <w:numId w:val="28"/>
        </w:numPr>
        <w:ind w:left="431" w:hanging="431"/>
        <w:spacing w:before="240"/>
        <w:rPr>
          <w:rFonts w:ascii="Times New Roman" w:hAnsi="Times New Roman" w:cs="Times New Roman"/>
          <w:color w:val="000000" w:themeColor="text1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bookmarkStart w:id="0" w:name="undefined"/>
      <w:r>
        <w:rPr>
          <w:rFonts w:ascii="Times New Roman" w:hAnsi="Times New Roman" w:eastAsia="Times New Roman" w:cs="Times New Roman" w:eastAsiaTheme="minorEastAsia"/>
          <w:color w:val="000000" w:themeColor="text1"/>
          <w:highlight w:val="none"/>
        </w:rPr>
        <w:t xml:space="preserve">Цель </w:t>
      </w:r>
      <w:bookmarkEnd w:id="0"/>
      <w:r>
        <w:rPr>
          <w:rFonts w:ascii="Times New Roman" w:hAnsi="Times New Roman" w:eastAsia="Times New Roman" w:cs="Times New Roman" w:eastAsiaTheme="minorEastAsia"/>
          <w:color w:val="000000" w:themeColor="text1"/>
          <w:highlight w:val="none"/>
        </w:rPr>
        <w:t xml:space="preserve">использования закупаемой продукции </w:t>
      </w:r>
      <w:r>
        <w:rPr>
          <w:rFonts w:ascii="Times New Roman" w:hAnsi="Times New Roman" w:cs="Times New Roman"/>
          <w:color w:val="000000" w:themeColor="text1"/>
          <w:highlight w:val="none"/>
        </w:rPr>
      </w:r>
      <w:r>
        <w:rPr>
          <w:rFonts w:ascii="Times New Roman" w:hAnsi="Times New Roman" w:cs="Times New Roman"/>
          <w:color w:val="000000" w:themeColor="text1"/>
          <w:highlight w:val="none"/>
        </w:rPr>
      </w:r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ascii="Times New Roman" w:hAnsi="Times New Roman" w:cs="Times New Roman"/>
          <w:bCs/>
          <w:color w:val="000000" w:themeColor="text1"/>
          <w:sz w:val="24"/>
          <w:szCs w:val="24"/>
          <w:highlight w:val="white"/>
        </w:rPr>
      </w:pPr>
      <w:r>
        <w:rPr>
          <w:rStyle w:val="948"/>
          <w:rFonts w:ascii="Times New Roman" w:hAnsi="Times New Roman" w:eastAsia="Times New Roman" w:cs="Times New Roman"/>
          <w:b w:val="0"/>
          <w:bCs/>
          <w:i w:val="0"/>
          <w:color w:val="000000" w:themeColor="text1"/>
          <w:sz w:val="24"/>
          <w:szCs w:val="24"/>
          <w:highlight w:val="white"/>
        </w:rPr>
      </w:r>
      <w:r>
        <w:rPr>
          <w:rStyle w:val="948"/>
          <w:rFonts w:ascii="Times New Roman" w:hAnsi="Times New Roman" w:eastAsia="Times New Roman" w:cs="Times New Roman"/>
          <w:b w:val="0"/>
          <w:bCs/>
          <w:i w:val="0"/>
          <w:color w:val="000000" w:themeColor="text1"/>
          <w:sz w:val="24"/>
          <w:szCs w:val="24"/>
          <w:highlight w:val="white"/>
        </w:rPr>
        <w:t xml:space="preserve">Реконструкция существующего золошлакоотвала «Зелёная балка», от отметки 160 метров до отметки 200 метров и оборотной системы транспорта золошлаковых отходов в системе гидрозолоудаления СП «Партизанская ГРЭС»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highlight w:val="white"/>
        </w:rPr>
      </w:r>
    </w:p>
    <w:p>
      <w:pPr>
        <w:pStyle w:val="758"/>
        <w:numPr>
          <w:ilvl w:val="1"/>
          <w:numId w:val="28"/>
        </w:numPr>
        <w:rPr>
          <w:rFonts w:ascii="Times New Roman" w:hAnsi="Times New Roman" w:cs="Times New Roman"/>
          <w:color w:val="000000" w:themeColor="text1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bookmarkStart w:id="0" w:name="undefined"/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bookmarkStart w:id="0" w:name="undefined"/>
      <w:r>
        <w:rPr>
          <w:rFonts w:ascii="Times New Roman" w:hAnsi="Times New Roman" w:eastAsia="Times New Roman" w:cs="Times New Roman" w:eastAsiaTheme="minorEastAsia"/>
          <w:color w:val="000000" w:themeColor="text1"/>
          <w:highlight w:val="none"/>
        </w:rPr>
        <w:t xml:space="preserve">Информация в отношении исполнения договора, </w:t>
      </w:r>
      <w:bookmarkStart w:id="0" w:name="undefined"/>
      <w:r>
        <w:rPr>
          <w:rFonts w:ascii="Times New Roman" w:hAnsi="Times New Roman" w:eastAsia="Times New Roman" w:cs="Times New Roman" w:eastAsiaTheme="minorEastAsia"/>
          <w:color w:val="000000" w:themeColor="text1"/>
          <w:highlight w:val="none"/>
        </w:rPr>
        <w:t xml:space="preserve">которая должна быть учтена при подготовке заявки </w:t>
      </w:r>
      <w:bookmarkEnd w:id="0"/>
      <w:r>
        <w:rPr>
          <w:rFonts w:ascii="Times New Roman" w:hAnsi="Times New Roman" w:eastAsia="Times New Roman" w:cs="Times New Roman" w:eastAsiaTheme="minorEastAsia"/>
          <w:color w:val="000000" w:themeColor="text1"/>
          <w:highlight w:val="none"/>
        </w:rPr>
        <w:t xml:space="preserve">(в том числе перечень ресурсов, услуг и документов, предоставляемых заказчиком на этапе исполнения договора)</w:t>
      </w:r>
      <w:r>
        <w:rPr>
          <w:rFonts w:ascii="Times New Roman" w:hAnsi="Times New Roman" w:eastAsia="Times New Roman" w:cs="Times New Roman" w:eastAsiaTheme="minorEastAsia"/>
          <w:color w:val="000000" w:themeColor="text1"/>
          <w:highlight w:val="none"/>
        </w:rPr>
        <w:t xml:space="preserve"> </w:t>
      </w:r>
      <w:r>
        <w:rPr>
          <w:rFonts w:ascii="Times New Roman" w:hAnsi="Times New Roman" w:cs="Times New Roman"/>
          <w:color w:val="000000" w:themeColor="text1"/>
          <w:highlight w:val="none"/>
        </w:rPr>
      </w:r>
      <w:r>
        <w:rPr>
          <w:rFonts w:ascii="Times New Roman" w:hAnsi="Times New Roman" w:cs="Times New Roman"/>
          <w:color w:val="000000" w:themeColor="text1"/>
          <w:highlight w:val="none"/>
        </w:rPr>
      </w:r>
    </w:p>
    <w:p>
      <w:pPr>
        <w:pStyle w:val="758"/>
        <w:numPr>
          <w:ilvl w:val="1"/>
          <w:numId w:val="28"/>
        </w:numPr>
        <w:rPr>
          <w:rFonts w:ascii="Times New Roman" w:hAnsi="Times New Roman" w:cs="Times New Roman"/>
          <w:color w:val="000000" w:themeColor="text1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bookmarkStart w:id="0" w:name="undefined"/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bookmarkEnd w:id="0"/>
      <w:r>
        <w:rPr>
          <w:rFonts w:ascii="Times New Roman" w:hAnsi="Times New Roman" w:eastAsia="Times New Roman" w:cs="Times New Roman" w:eastAsiaTheme="minorEastAsia"/>
          <w:color w:val="000000" w:themeColor="text1"/>
          <w:highlight w:val="none"/>
        </w:rPr>
        <w:t xml:space="preserve">Иные требования и сведения общего характера </w:t>
      </w:r>
      <w:r>
        <w:rPr>
          <w:rFonts w:ascii="Times New Roman" w:hAnsi="Times New Roman" w:cs="Times New Roman"/>
          <w:color w:val="000000" w:themeColor="text1"/>
          <w:highlight w:val="none"/>
        </w:rPr>
      </w:r>
      <w:r>
        <w:rPr>
          <w:rFonts w:ascii="Times New Roman" w:hAnsi="Times New Roman" w:cs="Times New Roman"/>
          <w:color w:val="000000" w:themeColor="text1"/>
          <w:highlight w:val="none"/>
        </w:rPr>
      </w:r>
    </w:p>
    <w:p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Установлены требования к происхождению поставляемой продукции в соответствии с Постановлением Правительства Российской Федерации от 23 декабря 2024 г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  <w:t xml:space="preserve">.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по тексту- ПП РФ № 1875).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pStyle w:val="755"/>
        <w:ind w:left="357" w:hanging="357"/>
        <w:jc w:val="center"/>
        <w:keepLines/>
        <w:rPr>
          <w:rFonts w:ascii="Times New Roman" w:hAnsi="Times New Roman" w:cs="Times New Roman"/>
          <w:iCs/>
          <w:caps/>
          <w:color w:val="000000" w:themeColor="text1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bookmarkStart w:id="0" w:name="undefined"/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bookmarkStart w:id="0" w:name="undefined"/>
      <w:r>
        <w:rPr>
          <w:rFonts w:ascii="Times New Roman" w:hAnsi="Times New Roman" w:eastAsia="Times New Roman" w:cs="Times New Roman" w:eastAsiaTheme="minorEastAsia"/>
          <w:iCs/>
          <w:color w:val="000000" w:themeColor="text1"/>
          <w:highlight w:val="none"/>
        </w:rPr>
        <w:t xml:space="preserve">Требования к продукции</w:t>
      </w:r>
      <w:bookmarkEnd w:id="0"/>
      <w:r>
        <w:rPr>
          <w:rFonts w:ascii="Times New Roman" w:hAnsi="Times New Roman" w:cs="Times New Roman"/>
          <w:iCs/>
          <w:caps/>
          <w:color w:val="000000" w:themeColor="text1"/>
          <w:highlight w:val="none"/>
        </w:rPr>
      </w:r>
      <w:r>
        <w:rPr>
          <w:rFonts w:ascii="Times New Roman" w:hAnsi="Times New Roman" w:cs="Times New Roman"/>
          <w:iCs/>
          <w:caps/>
          <w:color w:val="000000" w:themeColor="text1"/>
          <w:highlight w:val="none"/>
        </w:rPr>
      </w:r>
    </w:p>
    <w:p>
      <w:pPr>
        <w:pStyle w:val="758"/>
        <w:numPr>
          <w:ilvl w:val="1"/>
          <w:numId w:val="28"/>
        </w:numPr>
        <w:rPr>
          <w:rFonts w:ascii="Times New Roman" w:hAnsi="Times New Roman" w:cs="Times New Roman"/>
          <w:color w:val="000000" w:themeColor="text1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bookmarkStart w:id="0" w:name="undefined"/>
      <w:r>
        <w:rPr>
          <w:rFonts w:ascii="Times New Roman" w:hAnsi="Times New Roman" w:eastAsia="Times New Roman" w:cs="Times New Roman" w:eastAsiaTheme="minorEastAsia"/>
          <w:color w:val="000000" w:themeColor="text1"/>
          <w:highlight w:val="none"/>
        </w:rPr>
        <w:t xml:space="preserve">Требования к объемам и срокам поставки</w:t>
      </w:r>
      <w:bookmarkEnd w:id="0"/>
      <w:r>
        <w:rPr>
          <w:rFonts w:ascii="Times New Roman" w:hAnsi="Times New Roman" w:cs="Times New Roman"/>
          <w:color w:val="000000" w:themeColor="text1"/>
          <w:highlight w:val="none"/>
        </w:rPr>
      </w:r>
      <w:r>
        <w:rPr>
          <w:rFonts w:ascii="Times New Roman" w:hAnsi="Times New Roman" w:cs="Times New Roman"/>
          <w:color w:val="000000" w:themeColor="text1"/>
          <w:highlight w:val="none"/>
        </w:rPr>
      </w:r>
    </w:p>
    <w:p>
      <w:pPr>
        <w:pStyle w:val="757"/>
        <w:rPr>
          <w:rFonts w:ascii="Times New Roman" w:hAnsi="Times New Roman" w:cs="Times New Roman"/>
          <w:color w:val="000000" w:themeColor="text1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bookmarkStart w:id="0" w:name="undefined"/>
      <w:r>
        <w:rPr>
          <w:rFonts w:ascii="Times New Roman" w:hAnsi="Times New Roman" w:eastAsia="Times New Roman" w:cs="Times New Roman" w:eastAsiaTheme="minorEastAsia"/>
          <w:color w:val="000000" w:themeColor="text1"/>
          <w:highlight w:val="none"/>
        </w:rPr>
        <w:t xml:space="preserve">Перечень и объем закупаемой продукции</w:t>
      </w:r>
      <w:bookmarkEnd w:id="0"/>
      <w:r>
        <w:rPr>
          <w:rFonts w:ascii="Times New Roman" w:hAnsi="Times New Roman" w:cs="Times New Roman"/>
          <w:color w:val="000000" w:themeColor="text1"/>
          <w:highlight w:val="none"/>
        </w:rPr>
      </w:r>
      <w:r>
        <w:rPr>
          <w:rFonts w:ascii="Times New Roman" w:hAnsi="Times New Roman" w:cs="Times New Roman"/>
          <w:color w:val="000000" w:themeColor="text1"/>
          <w:highlight w:val="none"/>
        </w:rPr>
      </w:r>
    </w:p>
    <w:p>
      <w:pPr>
        <w:pStyle w:val="755"/>
        <w:numPr>
          <w:ilvl w:val="0"/>
          <w:numId w:val="0"/>
        </w:numPr>
        <w:keepLines/>
        <w:spacing w:before="240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bookmarkStart w:id="0" w:name="undefined"/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bookmarkStart w:id="0" w:name="undefined"/>
      <w:r>
        <w:rPr>
          <w:rFonts w:ascii="Times New Roman" w:hAnsi="Times New Roman" w:eastAsia="Times New Roman" w:cs="Times New Roman" w:eastAsiaTheme="minorEastAsia"/>
          <w:color w:val="000000" w:themeColor="text1"/>
          <w:sz w:val="24"/>
          <w:szCs w:val="24"/>
          <w:highlight w:val="none"/>
        </w:rPr>
        <w:t xml:space="preserve">Таблица 1.1 Перечень </w:t>
      </w:r>
      <w:bookmarkEnd w:id="0"/>
      <w:r>
        <w:rPr>
          <w:rFonts w:ascii="Times New Roman" w:hAnsi="Times New Roman" w:eastAsia="Times New Roman" w:cs="Times New Roman" w:eastAsiaTheme="minorEastAsia"/>
          <w:color w:val="000000" w:themeColor="text1"/>
          <w:sz w:val="24"/>
          <w:szCs w:val="24"/>
          <w:highlight w:val="none"/>
        </w:rPr>
        <w:t xml:space="preserve">и объем закупаемой продукции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tbl>
      <w:tblPr>
        <w:tblW w:w="9812" w:type="dxa"/>
        <w:tblInd w:w="221" w:type="dxa"/>
        <w:tblLayout w:type="fixed"/>
        <w:tblLook w:val="0000" w:firstRow="0" w:lastRow="0" w:firstColumn="0" w:lastColumn="0" w:noHBand="0" w:noVBand="0"/>
      </w:tblPr>
      <w:tblGrid>
        <w:gridCol w:w="833"/>
        <w:gridCol w:w="5980"/>
        <w:gridCol w:w="1386"/>
        <w:gridCol w:w="161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keepNext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п/п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79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Наименование продукции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6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Единица измерения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3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Количество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2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7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6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38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" w:type="dxa"/>
            <w:textDirection w:val="lrTb"/>
            <w:noWrap w:val="false"/>
          </w:tcPr>
          <w:p>
            <w:pPr>
              <w:pStyle w:val="1009"/>
              <w:numPr>
                <w:ilvl w:val="0"/>
                <w:numId w:val="29"/>
              </w:numPr>
              <w:widowControl w:val="off"/>
              <w:rPr>
                <w:rFonts w:ascii="Times New Roman" w:hAnsi="Times New Roman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7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 w:eastAsiaTheme="minorEastAsia"/>
                <w:bCs/>
                <w:i w:val="0"/>
                <w:iCs w:val="0"/>
                <w:color w:val="000000" w:themeColor="text1"/>
                <w:sz w:val="24"/>
                <w:szCs w:val="24"/>
                <w:highlight w:val="none"/>
                <w:u w:val="single"/>
              </w:rPr>
              <w:t xml:space="preserve">Насосный агрегат</w:t>
            </w:r>
            <w:r>
              <w:rPr>
                <w:rFonts w:ascii="Times New Roman" w:hAnsi="Times New Roman" w:eastAsia="Times New Roman" w:cs="Times New Roman" w:eastAsiaTheme="minorEastAsia"/>
                <w:i w:val="0"/>
                <w:iCs w:val="0"/>
                <w:color w:val="000000" w:themeColor="text1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ascii="Times New Roman" w:hAnsi="Times New Roman" w:eastAsia="Times New Roman" w:cs="Times New Roman" w:eastAsiaTheme="minorEastAsia"/>
                <w:color w:val="000000" w:themeColor="text1"/>
                <w:sz w:val="24"/>
                <w:szCs w:val="24"/>
                <w:highlight w:val="none"/>
                <w:u w:val="single"/>
              </w:rPr>
              <w:t xml:space="preserve">(резервный) Q=18м3/ч ., H=149 м. P=11кВт, Г=3х380В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6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  <w:t xml:space="preserve">шт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" w:type="dxa"/>
            <w:textDirection w:val="lrTb"/>
            <w:noWrap w:val="false"/>
          </w:tcPr>
          <w:p>
            <w:pPr>
              <w:pStyle w:val="1009"/>
              <w:numPr>
                <w:ilvl w:val="0"/>
                <w:numId w:val="29"/>
              </w:numPr>
              <w:widowControl w:val="off"/>
              <w:rPr>
                <w:rFonts w:ascii="Times New Roman" w:hAnsi="Times New Roman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79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  <w:t xml:space="preserve">Насосная установка повышения давления в сборе на единой раме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  <w:br/>
              <w:t xml:space="preserve">Q=18м3/ч., H=149 м.P=22кВт, Г=3х380В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  <w:br/>
              <w:t xml:space="preserve">В составе установки: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  <w:br/>
              <w:t xml:space="preserve">Вертикальные насосы 11кВт - 2 шт., трубопроводы DN80, DN50, ЗРА, КИП, ПЧ - 2 шт., КОФ, прокладки, крепеж, ПМУ, опорная рама, фунд. болты, виброопоры, комплект ЗИП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6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  <w:t xml:space="preserve">шт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  <w:t xml:space="preserve">2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" w:type="dxa"/>
            <w:textDirection w:val="lrTb"/>
            <w:noWrap w:val="false"/>
          </w:tcPr>
          <w:p>
            <w:pPr>
              <w:pStyle w:val="1009"/>
              <w:numPr>
                <w:ilvl w:val="0"/>
                <w:numId w:val="29"/>
              </w:numPr>
              <w:widowControl w:val="off"/>
              <w:rPr>
                <w:rFonts w:ascii="Times New Roman" w:hAnsi="Times New Roman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7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  <w:t xml:space="preserve">Насосный агрегат ГрАТ 950/120/1V- М1-1,6 (на параметры Q=950 мЗ/ч, Н= 120 м) на общей раме с электродвигателем 1000 кВт. 1000 об/мин. 6000В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6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  <w:t xml:space="preserve">шт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" w:type="dxa"/>
            <w:textDirection w:val="lrTb"/>
            <w:noWrap w:val="false"/>
          </w:tcPr>
          <w:p>
            <w:pPr>
              <w:pStyle w:val="1009"/>
              <w:numPr>
                <w:ilvl w:val="0"/>
                <w:numId w:val="29"/>
              </w:numPr>
              <w:widowControl w:val="off"/>
              <w:rPr>
                <w:rFonts w:ascii="Times New Roman" w:hAnsi="Times New Roman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79" w:type="dxa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  <w:t xml:space="preserve">Насосный агрегат 1Д630-90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  <w:t xml:space="preserve">центробежного горизонтального на раме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  <w:t xml:space="preserve">Q=630м3/ч, H=90 м в.ст.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widowControl w:val="off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  <w:t xml:space="preserve">Э/д ДАВ-250-4УЗ P=250кВт U=6000В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6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  <w:t xml:space="preserve">шт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</w:p>
        </w:tc>
      </w:tr>
    </w:tbl>
    <w:p>
      <w:pPr>
        <w:pStyle w:val="755"/>
        <w:numPr>
          <w:ilvl w:val="0"/>
          <w:numId w:val="0"/>
        </w:numPr>
        <w:keepLines/>
        <w:spacing w:before="240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bookmarkStart w:id="0" w:name="undefined"/>
      <w:r>
        <w:rPr>
          <w:rFonts w:ascii="Times New Roman" w:hAnsi="Times New Roman" w:eastAsia="Times New Roman" w:cs="Times New Roman" w:eastAsiaTheme="minorEastAsia"/>
          <w:color w:val="000000" w:themeColor="text1"/>
          <w:sz w:val="24"/>
          <w:szCs w:val="24"/>
          <w:highlight w:val="none"/>
        </w:rPr>
        <w:t xml:space="preserve">Таблица 1.2 Перечень и объем закупаемых сопутствующих услуг</w:t>
      </w:r>
      <w:bookmarkEnd w:id="0"/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tbl>
      <w:tblPr>
        <w:tblW w:w="9810" w:type="dxa"/>
        <w:tblInd w:w="221" w:type="dxa"/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993"/>
        <w:gridCol w:w="2118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keepNext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п/п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Наименование услуг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3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Единица измерения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8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Количество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1009"/>
              <w:numPr>
                <w:ilvl w:val="0"/>
                <w:numId w:val="31"/>
              </w:numPr>
              <w:widowControl w:val="off"/>
              <w:rPr>
                <w:rFonts w:ascii="Times New Roman" w:hAnsi="Times New Roman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highlight w:val="none"/>
              </w:rPr>
            </w:r>
            <w:commentRangeStart w:id="0"/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9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Не требуются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</w:tbl>
    <w:p>
      <w:pPr>
        <w:ind w:firstLine="142"/>
        <w:spacing w:before="120" w:after="120"/>
        <w:widowControl w:val="off"/>
        <w:tabs>
          <w:tab w:val="left" w:pos="426" w:leader="none"/>
        </w:tabs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highlight w:val="none"/>
          <w:shd w:val="clear" w:color="auto" w:fill="ffff99"/>
        </w:rPr>
      </w:pPr>
      <w:r>
        <w:rPr>
          <w:rFonts w:ascii="Times New Roman" w:hAnsi="Times New Roman" w:eastAsia="Times New Roman" w:cs="Times New Roman"/>
          <w:bCs/>
          <w:i/>
          <w:color w:val="000000" w:themeColor="text1"/>
          <w:sz w:val="24"/>
          <w:szCs w:val="24"/>
          <w:highlight w:val="none"/>
          <w:shd w:val="clear" w:color="auto" w:fill="ffff99"/>
        </w:rPr>
      </w:r>
      <w:r>
        <w:rPr>
          <w:rFonts w:ascii="Times New Roman" w:hAnsi="Times New Roman" w:eastAsia="Times New Roman" w:cs="Times New Roman"/>
          <w:bCs/>
          <w:i/>
          <w:color w:val="000000" w:themeColor="text1"/>
          <w:sz w:val="24"/>
          <w:szCs w:val="24"/>
          <w:highlight w:val="none"/>
          <w:shd w:val="clear" w:color="auto" w:fill="ffff99"/>
        </w:rPr>
      </w:r>
      <w:commentRangeEnd w:id="0"/>
      <w:r>
        <w:commentReference w:id="0"/>
      </w:r>
      <w:r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highlight w:val="none"/>
          <w:shd w:val="clear" w:color="auto" w:fill="ffff99"/>
        </w:rPr>
      </w:r>
      <w:r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highlight w:val="none"/>
          <w:shd w:val="clear" w:color="auto" w:fill="ffff99"/>
        </w:rPr>
      </w:r>
    </w:p>
    <w:p>
      <w:pPr>
        <w:pStyle w:val="757"/>
        <w:rPr>
          <w:rFonts w:ascii="Times New Roman" w:hAnsi="Times New Roman" w:cs="Times New Roman"/>
          <w:color w:val="000000" w:themeColor="text1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bookmarkStart w:id="0" w:name="undefined"/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bookmarkStart w:id="0" w:name="undefined"/>
      <w:r>
        <w:rPr>
          <w:rFonts w:ascii="Times New Roman" w:hAnsi="Times New Roman" w:eastAsia="Times New Roman" w:cs="Times New Roman" w:eastAsiaTheme="minorEastAsia"/>
          <w:color w:val="000000" w:themeColor="text1"/>
          <w:highlight w:val="none"/>
        </w:rPr>
        <w:t xml:space="preserve">Требования </w:t>
      </w:r>
      <w:bookmarkEnd w:id="0"/>
      <w:r>
        <w:rPr>
          <w:rFonts w:ascii="Times New Roman" w:hAnsi="Times New Roman" w:eastAsia="Times New Roman" w:cs="Times New Roman" w:eastAsiaTheme="minorEastAsia"/>
          <w:color w:val="000000" w:themeColor="text1"/>
          <w:highlight w:val="none"/>
        </w:rPr>
        <w:t xml:space="preserve">к срокам поставки продукции и оказания сопутствующих услуг</w:t>
      </w:r>
      <w:r>
        <w:rPr>
          <w:rFonts w:ascii="Times New Roman" w:hAnsi="Times New Roman" w:cs="Times New Roman"/>
          <w:color w:val="000000" w:themeColor="text1"/>
          <w:highlight w:val="none"/>
        </w:rPr>
      </w:r>
      <w:r>
        <w:rPr>
          <w:rFonts w:ascii="Times New Roman" w:hAnsi="Times New Roman" w:cs="Times New Roman"/>
          <w:color w:val="000000" w:themeColor="text1"/>
          <w:highlight w:val="none"/>
        </w:rPr>
      </w:r>
    </w:p>
    <w:p>
      <w:pPr>
        <w:pStyle w:val="755"/>
        <w:numPr>
          <w:ilvl w:val="0"/>
          <w:numId w:val="0"/>
        </w:numPr>
        <w:keepLines/>
        <w:spacing w:before="240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bookmarkStart w:id="0" w:name="undefined"/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bookmarkStart w:id="0" w:name="undefined"/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bookmarkStart w:id="0" w:name="undefined"/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bookmarkStart w:id="0" w:name="undefined"/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bookmarkEnd w:id="0"/>
      <w:r>
        <w:rPr>
          <w:rFonts w:ascii="Times New Roman" w:hAnsi="Times New Roman" w:eastAsia="Times New Roman" w:cs="Times New Roman" w:eastAsiaTheme="minorEastAsia"/>
          <w:color w:val="000000" w:themeColor="text1"/>
          <w:sz w:val="24"/>
          <w:szCs w:val="24"/>
          <w:highlight w:val="none"/>
        </w:rPr>
        <w:t xml:space="preserve">Таблица 2.1 </w:t>
      </w:r>
      <w:bookmarkStart w:id="0" w:name="undefined"/>
      <w:r>
        <w:rPr>
          <w:rFonts w:ascii="Times New Roman" w:hAnsi="Times New Roman" w:eastAsia="Times New Roman" w:cs="Times New Roman" w:eastAsiaTheme="minorEastAsia"/>
          <w:color w:val="000000" w:themeColor="text1"/>
          <w:sz w:val="24"/>
          <w:szCs w:val="24"/>
          <w:highlight w:val="none"/>
        </w:rPr>
        <w:t xml:space="preserve">Требования по срокам </w:t>
      </w:r>
      <w:bookmarkEnd w:id="0"/>
      <w:r>
        <w:rPr>
          <w:rFonts w:ascii="Times New Roman" w:hAnsi="Times New Roman" w:eastAsia="Times New Roman" w:cs="Times New Roman" w:eastAsiaTheme="minorEastAsia"/>
          <w:color w:val="000000" w:themeColor="text1"/>
          <w:sz w:val="24"/>
          <w:szCs w:val="24"/>
          <w:highlight w:val="none"/>
        </w:rPr>
        <w:t xml:space="preserve">поставки продукции</w:t>
      </w:r>
      <w:r>
        <w:rPr>
          <w:rFonts w:ascii="Times New Roman" w:hAnsi="Times New Roman" w:eastAsia="Times New Roman" w:cs="Times New Roman" w:eastAsiaTheme="minorEastAsia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tbl>
      <w:tblPr>
        <w:tblW w:w="977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132"/>
        <w:gridCol w:w="2865"/>
        <w:gridCol w:w="2664"/>
        <w:gridCol w:w="3115"/>
      </w:tblGrid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№ п/п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Наименование продукции / партии продукции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Требования к началу срока поставки продукции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Требования к окончанию срока поставки продукции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4" w:type="dxa"/>
            <w:textDirection w:val="lrTb"/>
            <w:noWrap w:val="false"/>
          </w:tcPr>
          <w:p>
            <w:pPr>
              <w:pStyle w:val="1024"/>
              <w:jc w:val="center"/>
              <w:keepNext w:val="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5" w:type="dxa"/>
            <w:textDirection w:val="lrTb"/>
            <w:noWrap w:val="false"/>
          </w:tcPr>
          <w:p>
            <w:pPr>
              <w:pStyle w:val="1024"/>
              <w:jc w:val="center"/>
              <w:keepNext w:val="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2" w:type="dxa"/>
            <w:vAlign w:val="center"/>
            <w:textDirection w:val="lrTb"/>
            <w:noWrap w:val="false"/>
          </w:tcPr>
          <w:p>
            <w:pPr>
              <w:pStyle w:val="1009"/>
              <w:numPr>
                <w:ilvl w:val="0"/>
                <w:numId w:val="30"/>
              </w:num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 w:eastAsiaTheme="minorEastAsia"/>
                <w:bCs/>
                <w:i w:val="0"/>
                <w:iCs w:val="0"/>
                <w:color w:val="000000" w:themeColor="text1"/>
                <w:sz w:val="24"/>
                <w:szCs w:val="24"/>
                <w:highlight w:val="none"/>
                <w:u w:val="single"/>
              </w:rPr>
              <w:t xml:space="preserve">Насосный агрегат</w:t>
            </w:r>
            <w:r>
              <w:rPr>
                <w:rFonts w:ascii="Times New Roman" w:hAnsi="Times New Roman" w:eastAsia="Times New Roman" w:cs="Times New Roman" w:eastAsiaTheme="minorEastAsia"/>
                <w:i w:val="0"/>
                <w:iCs w:val="0"/>
                <w:color w:val="000000" w:themeColor="text1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ascii="Times New Roman" w:hAnsi="Times New Roman" w:eastAsia="Times New Roman" w:cs="Times New Roman" w:eastAsiaTheme="minorEastAsia"/>
                <w:color w:val="000000" w:themeColor="text1"/>
                <w:sz w:val="24"/>
                <w:szCs w:val="24"/>
                <w:highlight w:val="none"/>
                <w:u w:val="single"/>
              </w:rPr>
              <w:t xml:space="preserve">(резервный) Q=18м3/ч ., H=149 м. P=11кВт, Г=3х380В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4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 даты заключения договора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В течение 90 календарных дней с даты заключения договора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2" w:type="dxa"/>
            <w:vAlign w:val="center"/>
            <w:textDirection w:val="lrTb"/>
            <w:noWrap w:val="false"/>
          </w:tcPr>
          <w:p>
            <w:pPr>
              <w:pStyle w:val="1009"/>
              <w:numPr>
                <w:ilvl w:val="0"/>
                <w:numId w:val="30"/>
              </w:num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  <w:t xml:space="preserve">Насосная установка повышения давления в сборе на единой раме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  <w:br/>
              <w:t xml:space="preserve">Q=18м3/ч., H=149 м.P=22кВт, Г=3х380В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  <w:br/>
              <w:t xml:space="preserve">В составе установки: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  <w:br/>
              <w:t xml:space="preserve">Вертикальные насосы 11кВт - 2 шт., трубопроводы DN80, DN50, ЗРА, КИП, ПЧ - 2 шт., КОФ, прокладки, крепеж, ПМУ, опорная рама, фунд. болты, виброопоры, комплект ЗИП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4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 даты заключения договора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В течение 90 календарных дней с даты заключения договора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32"/>
                <w:szCs w:val="3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32"/>
                <w:szCs w:val="32"/>
                <w:highlight w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32"/>
                <w:szCs w:val="32"/>
                <w:highlight w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32"/>
                <w:szCs w:val="32"/>
                <w:highlight w:val="none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2" w:type="dxa"/>
            <w:vAlign w:val="center"/>
            <w:textDirection w:val="lrTb"/>
            <w:noWrap w:val="false"/>
          </w:tcPr>
          <w:p>
            <w:pPr>
              <w:pStyle w:val="1009"/>
              <w:numPr>
                <w:ilvl w:val="0"/>
                <w:numId w:val="30"/>
              </w:num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  <w:t xml:space="preserve">Насосный агрегат ГрАТ 950/120/1V- М1-1,6 (на параметры Q=950 мЗ/ч, Н= 120 м) на общей раме с электродвигателем 1000 кВт. 1000 об/мин. 6000В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4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 даты заключения договора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В течение 180 календарных дней с даты заключения договора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32"/>
                <w:szCs w:val="3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32"/>
                <w:szCs w:val="32"/>
                <w:highlight w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32"/>
                <w:szCs w:val="32"/>
                <w:highlight w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32"/>
                <w:szCs w:val="32"/>
                <w:highlight w:val="none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2" w:type="dxa"/>
            <w:vAlign w:val="center"/>
            <w:textDirection w:val="lrTb"/>
            <w:noWrap w:val="false"/>
          </w:tcPr>
          <w:p>
            <w:pPr>
              <w:pStyle w:val="1009"/>
              <w:numPr>
                <w:ilvl w:val="0"/>
                <w:numId w:val="30"/>
              </w:num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</w:p>
        </w:tc>
        <w:tc>
          <w:tcPr>
            <w:shd w:val="clear" w:color="ffffff" w:fill="ffffff"/>
            <w:tcBorders>
              <w:left w:val="single" w:color="2A6099" w:sz="4" w:space="0"/>
              <w:bottom w:val="single" w:color="2A6099" w:sz="4" w:space="0"/>
              <w:right w:val="single" w:color="2A6099" w:sz="4" w:space="0"/>
            </w:tcBorders>
            <w:tcW w:w="286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  <w:t xml:space="preserve">Насосный агрегат 1Д630-90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  <w:t xml:space="preserve">центробежного горизонтального на раме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  <w:t xml:space="preserve">Q=630м3/ч, H=90 м в.ст.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  <w:t xml:space="preserve">Э/д ДАВ-250-4УЗ P=250кВт U=6000В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highlight w:val="none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4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 даты заключения договора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В течение 90 календарных дней с даты заключения договора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32"/>
                <w:szCs w:val="3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32"/>
                <w:szCs w:val="32"/>
                <w:highlight w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32"/>
                <w:szCs w:val="32"/>
                <w:highlight w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32"/>
                <w:szCs w:val="32"/>
                <w:highlight w:val="none"/>
              </w:rPr>
            </w:r>
          </w:p>
        </w:tc>
      </w:tr>
    </w:tbl>
    <w:p>
      <w:pPr>
        <w:pStyle w:val="755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pStyle w:val="755"/>
        <w:numPr>
          <w:ilvl w:val="0"/>
          <w:numId w:val="0"/>
        </w:numP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bookmarkStart w:id="0" w:name="undefined"/>
      <w:r>
        <w:rPr>
          <w:rFonts w:ascii="Times New Roman" w:hAnsi="Times New Roman" w:eastAsia="Times New Roman" w:cs="Times New Roman" w:eastAsiaTheme="minorEastAsia"/>
          <w:color w:val="000000" w:themeColor="text1"/>
          <w:sz w:val="24"/>
          <w:szCs w:val="24"/>
          <w:highlight w:val="none"/>
        </w:rPr>
        <w:t xml:space="preserve">Таблица 2.2 Требования по срокам оказания сопутствующих услуг</w:t>
      </w:r>
      <w:bookmarkEnd w:id="0"/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tbl>
      <w:tblPr>
        <w:tblW w:w="991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121"/>
        <w:gridCol w:w="2700"/>
        <w:gridCol w:w="2267"/>
        <w:gridCol w:w="2267"/>
        <w:gridCol w:w="1563"/>
      </w:tblGrid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№ п/п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Наименование услуг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Align w:val="center"/>
            <w:textDirection w:val="lrTb"/>
            <w:noWrap w:val="false"/>
          </w:tcPr>
          <w:p>
            <w:pPr>
              <w:pStyle w:val="1024"/>
              <w:jc w:val="center"/>
              <w:keepNext w:val="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Требования к началу срока оказания услуг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Align w:val="center"/>
            <w:textDirection w:val="lrTb"/>
            <w:noWrap w:val="false"/>
          </w:tcPr>
          <w:p>
            <w:pPr>
              <w:pStyle w:val="1024"/>
              <w:jc w:val="center"/>
              <w:keepNext w:val="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Требования к окончанию срока оказания услуг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3" w:type="dxa"/>
            <w:textDirection w:val="lrTb"/>
            <w:noWrap w:val="false"/>
          </w:tcPr>
          <w:p>
            <w:pPr>
              <w:pStyle w:val="1024"/>
              <w:jc w:val="center"/>
              <w:keepNext w:val="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Примечание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1024"/>
              <w:jc w:val="center"/>
              <w:keepNext w:val="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pStyle w:val="1024"/>
              <w:jc w:val="center"/>
              <w:keepNext w:val="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3" w:type="dxa"/>
            <w:textDirection w:val="lrTb"/>
            <w:noWrap w:val="false"/>
          </w:tcPr>
          <w:p>
            <w:pPr>
              <w:pStyle w:val="1024"/>
              <w:jc w:val="center"/>
              <w:keepNext w:val="0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5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 w:themeColor="text1"/>
                <w:sz w:val="24"/>
                <w:szCs w:val="24"/>
                <w:highlight w:val="none"/>
              </w:rPr>
              <w:t xml:space="preserve">1.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0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Не требуется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highlight w:val="none"/>
              </w:rPr>
            </w:r>
          </w:p>
        </w:tc>
      </w:tr>
    </w:tbl>
    <w:p>
      <w:pPr>
        <w:rPr>
          <w:rFonts w:ascii="Times New Roman" w:hAnsi="Times New Roman" w:cs="Times New Roman"/>
          <w:color w:val="000000" w:themeColor="text1"/>
          <w:highlight w:val="none"/>
        </w:rPr>
        <w:sectPr>
          <w:footnotePr/>
          <w:endnotePr/>
          <w:type w:val="nextPage"/>
          <w:pgSz w:w="11906" w:h="16838" w:orient="portrait"/>
          <w:pgMar w:top="1134" w:right="851" w:bottom="992" w:left="1134" w:header="709" w:footer="709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bookmarkStart w:id="0" w:name="undefined"/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bookmarkEnd w:id="0"/>
      <w:r>
        <w:rPr>
          <w:rFonts w:ascii="Times New Roman" w:hAnsi="Times New Roman" w:cs="Times New Roman"/>
          <w:color w:val="000000" w:themeColor="text1"/>
          <w:highlight w:val="none"/>
        </w:rPr>
      </w:r>
      <w:r>
        <w:rPr>
          <w:rFonts w:ascii="Times New Roman" w:hAnsi="Times New Roman" w:cs="Times New Roman"/>
          <w:color w:val="000000" w:themeColor="text1"/>
          <w:highlight w:val="none"/>
        </w:rPr>
      </w:r>
    </w:p>
    <w:p>
      <w:pPr>
        <w:pStyle w:val="758"/>
        <w:numPr>
          <w:ilvl w:val="1"/>
          <w:numId w:val="28"/>
        </w:numPr>
        <w:rPr>
          <w:rFonts w:ascii="Times New Roman" w:hAnsi="Times New Roman" w:cs="Times New Roman"/>
          <w:color w:val="000000" w:themeColor="text1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bookmarkStart w:id="0" w:name="undefined"/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bookmarkStart w:id="0" w:name="undefined"/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bookmarkStart w:id="0" w:name="undefined"/>
      <w:r>
        <w:rPr>
          <w:rFonts w:ascii="Times New Roman" w:hAnsi="Times New Roman" w:eastAsia="Times New Roman" w:cs="Times New Roman" w:eastAsiaTheme="minorEastAsia"/>
          <w:color w:val="000000" w:themeColor="text1"/>
          <w:highlight w:val="none"/>
        </w:rPr>
        <w:t xml:space="preserve">Требования к </w:t>
      </w:r>
      <w:bookmarkEnd w:id="0"/>
      <w:r>
        <w:rPr>
          <w:rFonts w:ascii="Times New Roman" w:hAnsi="Times New Roman" w:eastAsia="Times New Roman" w:cs="Times New Roman" w:eastAsiaTheme="minorEastAsia"/>
          <w:color w:val="000000" w:themeColor="text1"/>
          <w:highlight w:val="none"/>
        </w:rPr>
        <w:t xml:space="preserve">качеству продукции</w:t>
      </w:r>
      <w:r>
        <w:rPr>
          <w:rFonts w:ascii="Times New Roman" w:hAnsi="Times New Roman" w:cs="Times New Roman"/>
          <w:color w:val="000000" w:themeColor="text1"/>
          <w:highlight w:val="none"/>
        </w:rPr>
      </w:r>
      <w:r>
        <w:rPr>
          <w:rFonts w:ascii="Times New Roman" w:hAnsi="Times New Roman" w:cs="Times New Roman"/>
          <w:color w:val="000000" w:themeColor="text1"/>
          <w:highlight w:val="none"/>
        </w:rPr>
      </w:r>
    </w:p>
    <w:p>
      <w:pPr>
        <w:pStyle w:val="755"/>
        <w:numPr>
          <w:ilvl w:val="0"/>
          <w:numId w:val="0"/>
        </w:numPr>
        <w:keepLines/>
        <w:spacing w:before="240" w:after="221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bookmarkStart w:id="0" w:name="undefined"/>
      <w:r>
        <w:rPr>
          <w:rFonts w:ascii="Times New Roman" w:hAnsi="Times New Roman" w:eastAsia="Times New Roman" w:cs="Times New Roman" w:eastAsiaTheme="minorEastAsia"/>
          <w:color w:val="000000" w:themeColor="text1"/>
          <w:sz w:val="24"/>
          <w:szCs w:val="24"/>
          <w:highlight w:val="none"/>
        </w:rPr>
        <w:t xml:space="preserve">Таблица 3. Требования к продукции</w:t>
      </w:r>
      <w:bookmarkEnd w:id="0"/>
      <w:r>
        <w:rPr>
          <w:rFonts w:ascii="Times New Roman" w:hAnsi="Times New Roman" w:eastAsia="Times New Roman" w:cs="Times New Roman" w:eastAsiaTheme="minorEastAsia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pStyle w:val="755"/>
        <w:numPr>
          <w:ilvl w:val="0"/>
          <w:numId w:val="0"/>
        </w:numPr>
        <w:jc w:val="center"/>
        <w:keepLines/>
        <w:spacing w:before="240" w:after="221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:u w:val="single"/>
        </w:rPr>
      </w:pPr>
      <w:r>
        <w:rPr>
          <w:rFonts w:ascii="Times New Roman" w:hAnsi="Times New Roman" w:eastAsia="Times New Roman" w:cs="Times New Roman" w:eastAsiaTheme="minorEastAsia"/>
          <w:bCs/>
          <w:i/>
          <w:iCs/>
          <w:color w:val="000000" w:themeColor="text1"/>
          <w:sz w:val="24"/>
          <w:szCs w:val="24"/>
          <w:highlight w:val="none"/>
        </w:rPr>
        <w:t xml:space="preserve">Наименование продукции (позиция №1 Таблицы 1.1</w:t>
      </w:r>
      <w:r>
        <w:rPr>
          <w:rFonts w:ascii="Times New Roman" w:hAnsi="Times New Roman" w:eastAsia="Times New Roman" w:cs="Times New Roman" w:eastAsiaTheme="minorEastAsia"/>
          <w:bCs/>
          <w:i/>
          <w:iCs/>
          <w:color w:val="000000" w:themeColor="text1"/>
          <w:sz w:val="24"/>
          <w:szCs w:val="24"/>
          <w:highlight w:val="none"/>
        </w:rPr>
        <w:t xml:space="preserve">): </w:t>
      </w:r>
      <w:r>
        <w:rPr>
          <w:rFonts w:ascii="Times New Roman" w:hAnsi="Times New Roman" w:eastAsia="Times New Roman" w:cs="Times New Roman" w:eastAsiaTheme="minorEastAsia"/>
          <w:bCs/>
          <w:i w:val="0"/>
          <w:iCs w:val="0"/>
          <w:color w:val="000000" w:themeColor="text1"/>
          <w:sz w:val="24"/>
          <w:szCs w:val="24"/>
          <w:highlight w:val="none"/>
          <w:u w:val="single"/>
        </w:rPr>
        <w:t xml:space="preserve">Насосный агрегат</w:t>
      </w:r>
      <w:r>
        <w:rPr>
          <w:rFonts w:ascii="Times New Roman" w:hAnsi="Times New Roman" w:eastAsia="Times New Roman" w:cs="Times New Roman" w:eastAsiaTheme="minorEastAsia"/>
          <w:i w:val="0"/>
          <w:iCs w:val="0"/>
          <w:color w:val="000000" w:themeColor="text1"/>
          <w:sz w:val="24"/>
          <w:szCs w:val="24"/>
          <w:highlight w:val="none"/>
          <w:u w:val="single"/>
        </w:rPr>
        <w:t xml:space="preserve"> </w:t>
      </w:r>
      <w:r>
        <w:rPr>
          <w:rFonts w:ascii="Times New Roman" w:hAnsi="Times New Roman" w:eastAsia="Times New Roman" w:cs="Times New Roman" w:eastAsiaTheme="minorEastAsia"/>
          <w:color w:val="000000" w:themeColor="text1"/>
          <w:sz w:val="24"/>
          <w:szCs w:val="24"/>
          <w:highlight w:val="none"/>
          <w:u w:val="single"/>
        </w:rPr>
        <w:t xml:space="preserve">(резервный) Q=18м3/ч ., H=149 м. P=11кВт, Г=3х380В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:u w:val="singl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:u w:val="single"/>
        </w:rPr>
      </w:r>
    </w:p>
    <w:tbl>
      <w:tblPr>
        <w:tblpPr w:horzAnchor="text" w:tblpXSpec="left" w:vertAnchor="text" w:tblpY="1" w:leftFromText="180" w:topFromText="0" w:rightFromText="180" w:bottomFromText="0"/>
        <w:tblW w:w="151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97"/>
        <w:gridCol w:w="39"/>
        <w:gridCol w:w="2992"/>
        <w:gridCol w:w="2409"/>
        <w:gridCol w:w="2587"/>
        <w:gridCol w:w="2173"/>
      </w:tblGrid>
      <w:tr>
        <w:tblPrEx/>
        <w:trPr/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№ п/п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42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Наименование параметра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Требование заказчика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499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Способ подтверждения участником соответствия требованиям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Предложение участника по характеристикам и параметрам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4236" w:type="dxa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992" w:type="dxa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 Указание характеристик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58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Предоставление подтверждающего документа на этапе закупки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73" w:type="dxa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</w:p>
        </w:tc>
        <w:tc>
          <w:tcPr>
            <w:gridSpan w:val="2"/>
            <w:tcW w:w="423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99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58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5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7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contextualSpacing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3"/>
            <w:tcW w:w="7228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Требования к техническим и функциональным характеристикам насосов (включая гарантируемые показатели)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58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7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32"/>
              </w:numPr>
              <w:contextualSpacing/>
              <w:ind w:left="-117" w:firstLine="142"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19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Тип  насоса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303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Вертикальный насос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8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32"/>
              </w:numPr>
              <w:contextualSpacing/>
              <w:ind w:left="-117" w:firstLine="142"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19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Производительность (не менее),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highlight w:val="none"/>
              </w:rPr>
              <w:t xml:space="preserve">м3/ч)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303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8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32"/>
              </w:numPr>
              <w:contextualSpacing/>
              <w:ind w:left="-117" w:firstLine="142"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19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Напор (не менее),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 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303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149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8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32"/>
              </w:numPr>
              <w:contextualSpacing/>
              <w:ind w:left="-117" w:firstLine="142"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19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КПД (не менее), %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303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84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8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1.6.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19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Частота вращения (не менее), об/мин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303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2900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8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1.7.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19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Кавитационный запас, 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303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8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1.8.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19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Рабочая температура среды,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vertAlign w:val="superscript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3031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5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÷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8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612"/>
        </w:trPr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1.9.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19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Уплотнение вала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303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сальниковое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8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1.10.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19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Тип соединительной полумуфты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303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Втулочно-пальцевая муфта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8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1.11.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19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Вид привода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303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Электрический (электродвигатель)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8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2.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highlight w:val="none"/>
              </w:rPr>
            </w:r>
          </w:p>
        </w:tc>
        <w:tc>
          <w:tcPr>
            <w:gridSpan w:val="3"/>
            <w:shd w:val="clear" w:color="ffffff" w:fill="ffffff"/>
            <w:tcW w:w="7228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Требования к электродвигателю: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 // 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8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 // 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 // 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2.1.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19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Мощность в продолжительном режиме работы (не менее), кВт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303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8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2.2.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19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Номинальное линейное напряжение на зажимах выводов изделия, кВ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303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0,38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8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2.3.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19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Количество фаз и способ их соединения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303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3 фазы (звезда)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8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2.4.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19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Синхронная частота вращения (не менее), об/мин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303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Идентичная скорости насоса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8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2.5.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19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Направление вращения вала, если смотреть со стороны рабочего механизма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303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реверсивное, с возможностью переключения фаз в БРНО, для изменения направления вращения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8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2.6.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19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Частота тока питающей сети, Гц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303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50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8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53"/>
        </w:trPr>
        <w:tc>
          <w:tcPr>
            <w:tcW w:w="709" w:type="dxa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2.7.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19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Коэффициент мощности, не менее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303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Не менее 0,8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8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2.8.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19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Климатическое исполнение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303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 w:eastAsiaTheme="minorEastAsia"/>
                <w:color w:val="000000" w:themeColor="text1"/>
                <w:sz w:val="24"/>
                <w:szCs w:val="24"/>
                <w:highlight w:val="none"/>
              </w:rPr>
              <w:t xml:space="preserve">У1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8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2.9.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19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Исполнение на единой раме с насосом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303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09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8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380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ind w:left="0"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3.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3"/>
            <w:tcW w:w="7228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</w:rPr>
              <w:t xml:space="preserve">Прочие (дополнительные) требования к продукции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58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7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122"/>
        </w:trPr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left="0"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t xml:space="preserve">3.1.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contextualSpacing/>
              <w:ind w:left="360"/>
              <w:jc w:val="left"/>
              <w:spacing w:before="60" w:after="60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3"/>
            <w:tcW w:w="7228" w:type="dxa"/>
            <w:vAlign w:val="center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 комплект поставки входит: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Вертикальный насос 11кВт - 1 шт.,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комплект ЗИП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Комплект запасных подшипников (по 1 шт.) каждого наименования, аналогичных установленным в  корпусе данного электродвигателя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409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widowControl w:val="off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left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587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73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144"/>
        </w:trPr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left="0"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t xml:space="preserve">3.2.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contextualSpacing/>
              <w:ind w:left="360"/>
              <w:jc w:val="left"/>
              <w:spacing w:before="60" w:after="60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4197" w:type="dxa"/>
            <w:vAlign w:val="top"/>
            <w:vMerge w:val="restart"/>
            <w:textDirection w:val="lrTb"/>
            <w:noWrap w:val="false"/>
          </w:tcPr>
          <w:p>
            <w:pPr>
              <w:pStyle w:val="1049"/>
              <w:ind w:firstLine="0"/>
              <w:spacing w:before="0" w:line="240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При осуществлении закупки товара,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если Правительством РФ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установлено </w:t>
            </w:r>
            <w:hyperlink r:id="rId12" w:tooltip="https://login.consultant.ru/link/?req=doc&amp;base=LAW&amp;n=494318&amp;dst=100007" w:history="1">
              <w:r>
                <w:rPr>
                  <w:rFonts w:eastAsia="Times New Roman"/>
                  <w:sz w:val="20"/>
                  <w:szCs w:val="20"/>
                  <w:lang w:eastAsia="ru-RU"/>
                </w:rPr>
                <w:t xml:space="preserve">ограничение</w:t>
              </w:r>
            </w:hyperlink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закупок товаров, происходящих из иностранных государств (по перечню </w:t>
            </w:r>
            <w:r>
              <w:rPr>
                <w:rFonts w:eastAsia="Times New Roman"/>
                <w:sz w:val="20"/>
                <w:szCs w:val="20"/>
                <w:shd w:val="clear" w:color="auto" w:fill="ffffff"/>
              </w:rPr>
              <w:t xml:space="preserve">согласно приложению N 2 ПП РФ № 1875)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,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1049"/>
              <w:ind w:firstLine="0"/>
              <w:spacing w:before="0" w:line="240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не допускаются: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1049"/>
              <w:ind w:firstLine="0"/>
              <w:spacing w:before="0" w:line="240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е предложение, признанные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конкурентной закупки) и содержащие предложения о поставке товара российского происхождения,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1049"/>
              <w:ind w:firstLine="0"/>
              <w:spacing w:before="0" w:line="240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происхождения, </w:t>
            </w:r>
            <w:r>
              <w:rPr>
                <w:sz w:val="20"/>
                <w:szCs w:val="20"/>
                <w:shd w:val="clear" w:color="auto" w:fill="ffffff"/>
              </w:rPr>
              <w:t xml:space="preserve">по перечню согласно приложению N 2 ПП РФ № 1875.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3031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  <w:t xml:space="preserve">Поставляемая продукция должна быть </w:t>
            </w:r>
            <w:r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  <w:t xml:space="preserve"> подтверждена</w:t>
            </w:r>
            <w:r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  <w:t xml:space="preserve">документами и информаци</w:t>
            </w:r>
            <w:r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  <w:t xml:space="preserve">ей</w:t>
            </w:r>
            <w:r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  <w:t xml:space="preserve">, подтверждающие страну происхождения товара</w:t>
            </w:r>
            <w:r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>
              <w:rPr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в соответствии с требованиями Постановления Правительства Российско</w:t>
            </w:r>
            <w:r>
              <w:rPr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й Федерации от 23 декабря 2024 г. N 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лиц”.</w:t>
            </w:r>
            <w:r>
              <w:rPr>
                <w:iCs/>
                <w:color w:val="000000" w:themeColor="text1"/>
                <w:sz w:val="24"/>
                <w:szCs w:val="24"/>
                <w:shd w:val="clear" w:color="auto" w:fill="ffffff"/>
              </w:rPr>
            </w:r>
            <w:r>
              <w:rPr>
                <w:iCs/>
                <w:color w:val="000000" w:themeColor="text1"/>
                <w:sz w:val="24"/>
                <w:szCs w:val="24"/>
                <w:shd w:val="clear" w:color="auto" w:fill="ffffff"/>
              </w:rPr>
            </w:r>
          </w:p>
          <w:p>
            <w:pPr>
              <w:widowControl w:val="off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409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widowControl w:val="off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left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587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 w:eastAsiaTheme="minorHAnsi"/>
                <w:bCs w:val="0"/>
                <w:i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4"/>
                <w:szCs w:val="24"/>
                <w:lang w:eastAsia="en-US"/>
              </w:rPr>
              <w:t xml:space="preserve">-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4"/>
                <w:szCs w:val="24"/>
                <w:lang w:eastAsia="en-US"/>
              </w:rPr>
              <w:t xml:space="preserve">Участник должен предоставить в составе заявки Коммерческое предложение по форме, установленной документацией о закупке, с указанием в отношении поставляемой продукции информации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4"/>
                <w:szCs w:val="24"/>
                <w:lang w:val="ru-RU" w:eastAsia="en-US"/>
              </w:rPr>
              <w:t xml:space="preserve">: о наименовании реестра(реестров),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4"/>
                <w:szCs w:val="24"/>
                <w:lang w:eastAsia="en-US"/>
              </w:rPr>
              <w:t xml:space="preserve"> о номере (номерах) реестровой записи (реестровых записей) соответствующих реестров.</w:t>
            </w:r>
            <w:r>
              <w:rPr>
                <w:rFonts w:ascii="Times New Roman" w:hAnsi="Times New Roman" w:cs="Times New Roman" w:eastAsiaTheme="minorHAnsi"/>
                <w:bCs w:val="0"/>
                <w:i w:val="0"/>
                <w:color w:val="auto"/>
                <w:sz w:val="24"/>
                <w:szCs w:val="24"/>
                <w:highlight w:val="none"/>
                <w:lang w:eastAsia="en-US"/>
              </w:rPr>
            </w:r>
            <w:r>
              <w:rPr>
                <w:rFonts w:ascii="Times New Roman" w:hAnsi="Times New Roman" w:cs="Times New Roman" w:eastAsiaTheme="minorHAnsi"/>
                <w:bCs w:val="0"/>
                <w:i w:val="0"/>
                <w:color w:val="auto"/>
                <w:sz w:val="24"/>
                <w:szCs w:val="24"/>
                <w:highlight w:val="none"/>
                <w:lang w:eastAsia="en-US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73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647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4.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3"/>
            <w:tcW w:w="7228" w:type="dxa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</w:rPr>
              <w:t xml:space="preserve">Требования к гарантиям, гарантийному и послегарантийному обслуживанию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58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7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171"/>
        </w:trPr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left"/>
              <w:spacing w:before="60" w:after="60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t xml:space="preserve">4.1.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3"/>
            <w:tcW w:w="7228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  <w:t xml:space="preserve">Гарантийный срок на продукцию по позиции 1 Таблицы 1.1 – согласно гарантий завода-производителя, но не менее 12 (двенадцать) календарных месяцев с даты подписания Покупателем (грузополучателем) УПД.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587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73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5.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3"/>
            <w:tcW w:w="7228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Требования к доставке, маркировке, упаковке, транспортировке, перемещению, условиям хранения, приемке и испытаниям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58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7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36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5.1.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4236" w:type="dxa"/>
            <w:textDirection w:val="lrTb"/>
            <w:noWrap w:val="false"/>
          </w:tcPr>
          <w:p>
            <w:pPr>
              <w:jc w:val="both"/>
              <w:spacing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Место поставки,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отгрузочные реквизиты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992" w:type="dxa"/>
            <w:textDirection w:val="lrTb"/>
            <w:noWrap w:val="false"/>
          </w:tcPr>
          <w:p>
            <w:pPr>
              <w:ind w:left="72"/>
              <w:jc w:val="center"/>
              <w:rPr>
                <w:rFonts w:ascii="Times New Roman" w:hAnsi="Times New Roman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АО "ДГК" СП "Партизанская ГРЭС", 692860, Приморский край, г. Партизанск, ул. Свердлова, д.2 </w:t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ИНН/КПП 1434031363/250932001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58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2304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6.2.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3"/>
            <w:tcW w:w="7228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Оборудование должно быть новым, изготовленным не ранее 2025 года, не находившимся в эксплуатации, без повреждений, следов воздействия влаги и следов вскрытия.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родукция должна быть поставлена в упаковке производителя, не нарушенной, обеспечивающей сохранность от всякого рода повреждений при перевозке любыми видами транспорта, а также предохраняющей поставляемую продукцию от внешних воздействий. Маркировка упаковк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и должна соответствовать ГОСТ 25880-83.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58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258"/>
        </w:trPr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r>
              <w:t xml:space="preserve">7.</w:t>
            </w:r>
            <w:r/>
          </w:p>
        </w:tc>
        <w:tc>
          <w:tcPr>
            <w:gridSpan w:val="3"/>
            <w:tcW w:w="7228" w:type="dxa"/>
            <w:vAlign w:val="center"/>
            <w:vMerge w:val="restart"/>
            <w:textDirection w:val="lrTb"/>
            <w:noWrap w:val="false"/>
          </w:tcPr>
          <w:p>
            <w:pPr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Требования к участнику закупки, признанным победителем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  <w:p>
            <w:r/>
            <w:r/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587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9"/>
                <w:szCs w:val="19"/>
                <w:highlight w:val="none"/>
              </w:rPr>
              <w:t xml:space="preserve">Участник, признанный победителем закупочной процедуры, в течение 10 рабочих дней с даты официального размещения Организатором итогового протокола по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9"/>
                <w:szCs w:val="19"/>
                <w:highlight w:val="none"/>
              </w:rPr>
              <w:t xml:space="preserve">резу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9"/>
                <w:szCs w:val="19"/>
                <w:highlight w:val="none"/>
              </w:rPr>
              <w:t xml:space="preserve">льтатам закупки (до заключения договора) на адрес электронной почты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9"/>
                <w:szCs w:val="19"/>
                <w:highlight w:val="none"/>
              </w:rPr>
              <w:t xml:space="preserve">nekhoroshikh-na@dgk.ru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9"/>
                <w:szCs w:val="19"/>
                <w:highlight w:val="none"/>
              </w:rPr>
              <w:t xml:space="preserve"> должен предоставить: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ind w:left="0" w:firstLine="0"/>
              <w:jc w:val="both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9"/>
                <w:szCs w:val="19"/>
                <w:highlight w:val="none"/>
              </w:rPr>
              <w:t xml:space="preserve">- Регистрационные номера сертификата или декларации о соответствии или копию сертификата или декларации о соответствии на предлагаемую продукцию;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ind w:left="0" w:firstLine="0"/>
              <w:jc w:val="both"/>
              <w:spacing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9"/>
                <w:szCs w:val="19"/>
                <w:highlight w:val="none"/>
              </w:rPr>
              <w:t xml:space="preserve">- Технический паспорт на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- Технический паспорт на насос, либо ранее изготовленный аналогичный насос;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ind w:left="0" w:firstLine="0"/>
              <w:jc w:val="both"/>
              <w:spacing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- Технический паспорт на двигатель, либо ранее изготовленный аналогичный электродвигатель</w:t>
            </w:r>
            <w:r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9"/>
                <w:szCs w:val="19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/>
          </w:p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73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</w:tbl>
    <w:p>
      <w:pPr>
        <w:rPr>
          <w:rFonts w:ascii="Times New Roman" w:hAnsi="Times New Roman" w:cs="Times New Roman"/>
          <w:b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:highlight w:val="none"/>
        </w:rPr>
      </w:r>
    </w:p>
    <w:p>
      <w:pPr>
        <w:jc w:val="center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highlight w:val="white"/>
          <w:u w:val="single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 w:themeColor="text1"/>
          <w:sz w:val="24"/>
          <w:szCs w:val="24"/>
          <w:highlight w:val="white"/>
        </w:rPr>
        <w:t xml:space="preserve">Наименование продукции (позиция №2 Таблицы 1.1): </w:t>
      </w:r>
      <w:r>
        <w:rPr>
          <w:rStyle w:val="948"/>
          <w:rFonts w:ascii="Times New Roman" w:hAnsi="Times New Roman" w:eastAsia="Times New Roman" w:cs="Times New Roman" w:eastAsiaTheme="minorEastAsia"/>
          <w:i w:val="0"/>
          <w:color w:val="000000" w:themeColor="text1"/>
          <w:sz w:val="24"/>
          <w:szCs w:val="24"/>
          <w:highlight w:val="white"/>
          <w:u w:val="single"/>
        </w:rPr>
        <w:t xml:space="preserve">Насосная установка повышения давления в сборе на единой раме Q=18м³/ч Н=149м Р=22кВт, Г=3х380В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highlight w:val="white"/>
          <w:u w:val="single"/>
        </w:rPr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highlight w:val="white"/>
          <w:u w:val="single"/>
        </w:rPr>
      </w:r>
    </w:p>
    <w:p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highlight w:val="none"/>
        </w:rPr>
      </w:r>
    </w:p>
    <w:tbl>
      <w:tblPr>
        <w:tblpPr w:horzAnchor="text" w:tblpXSpec="left" w:vertAnchor="text" w:tblpY="1" w:leftFromText="180" w:topFromText="0" w:rightFromText="180" w:bottomFromText="0"/>
        <w:tblW w:w="151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97"/>
        <w:gridCol w:w="38"/>
        <w:gridCol w:w="3006"/>
        <w:gridCol w:w="2515"/>
        <w:gridCol w:w="2469"/>
        <w:gridCol w:w="2173"/>
      </w:tblGrid>
      <w:tr>
        <w:tblPrEx/>
        <w:trPr/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№ п/п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423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Наименование параметра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300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Требование заказчика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498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Способ подтверждения участником соответствия требованиям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Предложение участника по характеристикам и параметрам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4235" w:type="dxa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006" w:type="dxa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51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 Согласие с требованием/Указание характеристик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46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Предоставление подтверждающего документа на этапе закупки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73" w:type="dxa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</w:p>
        </w:tc>
        <w:tc>
          <w:tcPr>
            <w:gridSpan w:val="2"/>
            <w:tcW w:w="423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300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51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46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5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7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33"/>
              </w:numPr>
              <w:contextualSpacing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3"/>
            <w:tcW w:w="7241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Требования к техническим и функциональным характеристикам сетевых насосов (включая гарантируемые показатели)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5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7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33"/>
              </w:numPr>
              <w:contextualSpacing/>
              <w:ind w:left="-117" w:firstLine="142"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19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Тип  насоса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30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Вертикальный насос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33"/>
              </w:numPr>
              <w:contextualSpacing/>
              <w:ind w:left="-117" w:firstLine="142"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19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Производительность (не менее), (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highlight w:val="none"/>
              </w:rPr>
              <w:t xml:space="preserve">м3/ч)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30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33"/>
              </w:numPr>
              <w:contextualSpacing/>
              <w:ind w:left="-117" w:firstLine="142"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19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Напор (не менее)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, 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30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149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33"/>
              </w:numPr>
              <w:contextualSpacing/>
              <w:ind w:left="-117" w:firstLine="142"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19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КПД (не менее), %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30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84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1.6.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19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Частота вращения (не менее), об/мин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30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2900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1.7.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19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Кавитационный запас (не более), 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30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1.8.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19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Рабочая температура среды,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vertAlign w:val="superscript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304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5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÷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1.9.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19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Уплотнение вала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30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сальниковое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73"/>
        </w:trPr>
        <w:tc>
          <w:tcPr>
            <w:tcW w:w="709" w:type="dxa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1.10.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19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Тип соединительной полумуфты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30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Втулочно-пальцевая муфта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1.11.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19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Вид привода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30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Электрический (электродвигатель)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2.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highlight w:val="none"/>
              </w:rPr>
            </w:r>
          </w:p>
        </w:tc>
        <w:tc>
          <w:tcPr>
            <w:gridSpan w:val="3"/>
            <w:shd w:val="clear" w:color="ffffff" w:fill="ffffff"/>
            <w:tcW w:w="7241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Требования к электродвигателю: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 // 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 // 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 // 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99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2.1.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19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Мощность в продолжительном режиме работы (не менее), кВт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30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2.2.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19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Номинальное линейное напряжение на зажимах выводов изделия, кВ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30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0,38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635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2.3.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19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Количество фаз и способ их соединения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30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3 фазы (звезда)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2.4.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19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Синхронная частота вращения (не менее), об/мин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30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Идентичная скорости насоса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2.5.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19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Направление вращения вала, если смотреть со стороны рабочего механизма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30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реверсивное, с возможностью переключения фаз в БРНО, для изменения направления вращения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2.6.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19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Частота тока питающей сети, Гц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30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50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887"/>
        </w:trPr>
        <w:tc>
          <w:tcPr>
            <w:tcW w:w="709" w:type="dxa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2.7.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19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Коэффициент мощности (не менее)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30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Не менее 0,8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628"/>
        </w:trPr>
        <w:tc>
          <w:tcPr>
            <w:tcW w:w="709" w:type="dxa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2.8.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19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Климатическое исполнение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304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 w:eastAsiaTheme="minorEastAsia"/>
                <w:color w:val="000000" w:themeColor="text1"/>
                <w:sz w:val="24"/>
                <w:szCs w:val="24"/>
                <w:highlight w:val="none"/>
              </w:rPr>
              <w:t xml:space="preserve">У1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2.9.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19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Исполнение на единой раме с насосом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30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ind w:left="0"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3.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3"/>
            <w:tcW w:w="7241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Прочие (дополнительные) требования к продукции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5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7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1669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ind w:left="0"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3.1.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contextualSpacing/>
              <w:ind w:left="360"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3"/>
            <w:tcW w:w="7241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В комплект поставки входит: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Вертикальные насосы 11кВт - 2 шт., трубопроводы DN80, DN50, ЗРА, КИП, ПЧ-2 шт. КОФ, прокладки, крепеж, ПМУ, опорная рама,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фунд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. болты,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виброопоры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, комплект ЗИП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сальниковые уплотнения - 1 комплект, комплект подшипников на насос - по 1шт. каждого наименования, комплект РТИ- 1 комплект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Комплект запасных подшипников (по 1 шт.) каждого наименования, установленных  в  корпусе данного электродвигателя.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7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447"/>
        </w:trPr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left="0"/>
              <w:jc w:val="left"/>
              <w:spacing w:before="60" w:after="60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3.2.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4235" w:type="dxa"/>
            <w:vMerge w:val="restart"/>
            <w:textDirection w:val="lrTb"/>
            <w:noWrap w:val="false"/>
          </w:tcPr>
          <w:p>
            <w:pPr>
              <w:pStyle w:val="1049"/>
              <w:ind w:firstLine="0"/>
              <w:spacing w:before="0" w:line="240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При осуществлении закупки товара,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если Правительством РФ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установлено </w:t>
            </w:r>
            <w:hyperlink r:id="rId13" w:tooltip="https://login.consultant.ru/link/?req=doc&amp;base=LAW&amp;n=494318&amp;dst=100007" w:history="1">
              <w:r>
                <w:rPr>
                  <w:rFonts w:eastAsia="Times New Roman"/>
                  <w:sz w:val="20"/>
                  <w:szCs w:val="20"/>
                  <w:lang w:eastAsia="ru-RU"/>
                </w:rPr>
                <w:t xml:space="preserve">ограничение</w:t>
              </w:r>
            </w:hyperlink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закупок товаров, происходящих из иностранных государств (по перечню </w:t>
            </w:r>
            <w:r>
              <w:rPr>
                <w:rFonts w:eastAsia="Times New Roman"/>
                <w:sz w:val="20"/>
                <w:szCs w:val="20"/>
                <w:shd w:val="clear" w:color="auto" w:fill="ffffff"/>
              </w:rPr>
              <w:t xml:space="preserve">согласно приложению N 2 ПП РФ № 1875)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,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1049"/>
              <w:ind w:firstLine="0"/>
              <w:spacing w:before="0" w:line="240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не допускаются: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1049"/>
              <w:ind w:firstLine="0"/>
              <w:spacing w:before="0" w:line="240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е предложение, признанные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конкурентной закупки) и содержащие предложения о поставке товара российского происхождения,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1049"/>
              <w:ind w:firstLine="0"/>
              <w:spacing w:before="0" w:line="240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, по перечню согласно приложению N 2 ПП РФ № 1875.</w:t>
            </w:r>
            <w:r>
              <w:rPr>
                <w:sz w:val="20"/>
                <w:szCs w:val="20"/>
                <w:shd w:val="clear" w:color="auto" w:fill="ffffff"/>
              </w:rPr>
            </w:r>
            <w:r>
              <w:rPr>
                <w:sz w:val="20"/>
                <w:szCs w:val="20"/>
                <w:shd w:val="clear" w:color="auto" w:fill="ffffff"/>
              </w:rPr>
            </w:r>
          </w:p>
        </w:tc>
        <w:tc>
          <w:tcPr>
            <w:tcW w:w="3006" w:type="dxa"/>
            <w:vMerge w:val="restart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  <w:t xml:space="preserve">Поставляемая продукция должна быть </w:t>
            </w:r>
            <w:r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  <w:t xml:space="preserve"> подтверждена</w:t>
            </w:r>
            <w:r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  <w:t xml:space="preserve">документами и информаци</w:t>
            </w:r>
            <w:r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  <w:t xml:space="preserve">ей</w:t>
            </w:r>
            <w:r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  <w:t xml:space="preserve">, подтверждающие страну происхождения товара</w:t>
            </w:r>
            <w:r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>
              <w:rPr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в соответствии с требованиями Постановления Правительства Российско</w:t>
            </w:r>
            <w:r>
              <w:rPr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й Федерации от 23 декабря 2024 г. N 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лиц”.</w:t>
            </w:r>
            <w:r>
              <w:rPr>
                <w:iCs/>
                <w:color w:val="000000" w:themeColor="text1"/>
                <w:sz w:val="24"/>
                <w:szCs w:val="24"/>
                <w:shd w:val="clear" w:color="auto" w:fill="ffffff"/>
              </w:rPr>
            </w:r>
            <w:r>
              <w:rPr>
                <w:iCs/>
                <w:color w:val="000000" w:themeColor="text1"/>
                <w:sz w:val="24"/>
                <w:szCs w:val="24"/>
                <w:shd w:val="clear" w:color="auto" w:fill="ffffff"/>
              </w:rPr>
            </w:r>
          </w:p>
          <w:p>
            <w:pPr>
              <w:widowControl w:val="off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515" w:type="dxa"/>
            <w:vMerge w:val="restart"/>
            <w:textDirection w:val="lrTb"/>
            <w:noWrap w:val="false"/>
          </w:tcPr>
          <w:p>
            <w:pPr>
              <w:jc w:val="left"/>
              <w:widowControl w:val="off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left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469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 w:eastAsiaTheme="minorHAnsi"/>
                <w:bCs w:val="0"/>
                <w:i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4"/>
                <w:szCs w:val="24"/>
                <w:lang w:eastAsia="en-US"/>
              </w:rPr>
              <w:t xml:space="preserve">-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4"/>
                <w:szCs w:val="24"/>
                <w:lang w:eastAsia="en-US"/>
              </w:rPr>
              <w:t xml:space="preserve">Участник должен предоставить в составе заявки Коммерческое предложение по форме, установленной документацией о закупке, с указанием в отношении поставляемой продукции информации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4"/>
                <w:szCs w:val="24"/>
                <w:lang w:val="ru-RU" w:eastAsia="en-US"/>
              </w:rPr>
              <w:t xml:space="preserve">: о наименовании реестра(реестров),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4"/>
                <w:szCs w:val="24"/>
                <w:lang w:eastAsia="en-US"/>
              </w:rPr>
              <w:t xml:space="preserve"> о номере (номерах) реестровой записи (реестровых записей) соответствующих реестров.</w:t>
            </w:r>
            <w:r>
              <w:rPr>
                <w:rFonts w:ascii="Times New Roman" w:hAnsi="Times New Roman" w:cs="Times New Roman" w:eastAsiaTheme="minorHAnsi"/>
                <w:bCs w:val="0"/>
                <w:i w:val="0"/>
                <w:color w:val="auto"/>
                <w:sz w:val="24"/>
                <w:szCs w:val="24"/>
                <w:highlight w:val="none"/>
                <w:lang w:eastAsia="en-US"/>
              </w:rPr>
            </w:r>
            <w:r>
              <w:rPr>
                <w:rFonts w:ascii="Times New Roman" w:hAnsi="Times New Roman" w:cs="Times New Roman" w:eastAsiaTheme="minorHAnsi"/>
                <w:bCs w:val="0"/>
                <w:i w:val="0"/>
                <w:color w:val="auto"/>
                <w:sz w:val="24"/>
                <w:szCs w:val="24"/>
                <w:highlight w:val="none"/>
                <w:lang w:eastAsia="en-US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73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422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4.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3"/>
            <w:tcW w:w="7241" w:type="dxa"/>
            <w:textDirection w:val="lrTb"/>
            <w:noWrap w:val="false"/>
          </w:tcPr>
          <w:p>
            <w:pPr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</w:rPr>
              <w:t xml:space="preserve">Требования к гарантиям, гарантийному и послегарантийному обслуживанию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5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7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672"/>
        </w:trPr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left"/>
              <w:spacing w:before="60" w:after="60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t xml:space="preserve">4.1.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3"/>
            <w:tcW w:w="7241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  <w:t xml:space="preserve">Гарантийный срок на продукцию по позиции 2 Таблицы 1.1 – согласно гарантий завода-производителя, но не менее 12 (двенадцать) календарных месяцев с даты подписания Покупателем (грузополучателем) УПД.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515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46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73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5.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3"/>
            <w:tcW w:w="7241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Требования к доставке, маркировке, упаковке, транспортировке, перемещению, условиям хранения, приемке и испытаниям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5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7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5.1.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4235" w:type="dxa"/>
            <w:textDirection w:val="lrTb"/>
            <w:noWrap w:val="false"/>
          </w:tcPr>
          <w:p>
            <w:pPr>
              <w:jc w:val="both"/>
              <w:spacing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Место поставки, отгрузочные реквизиты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3006" w:type="dxa"/>
            <w:textDirection w:val="lrTb"/>
            <w:noWrap w:val="false"/>
          </w:tcPr>
          <w:p>
            <w:pPr>
              <w:ind w:left="72"/>
              <w:jc w:val="center"/>
              <w:rPr>
                <w:rFonts w:ascii="Times New Roman" w:hAnsi="Times New Roman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АО "ДГК" СП "Партизанская ГРЭС", 692860, Приморский край, г. Партизанск, ул. Свердлова, д.2 </w:t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ИНН/КПП 1434031363/250932001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392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5.2.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contextualSpacing/>
              <w:jc w:val="left"/>
              <w:spacing w:before="60" w:after="60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contextualSpacing/>
              <w:jc w:val="left"/>
              <w:spacing w:before="60" w:after="60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3"/>
            <w:tcW w:w="7241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Оборудование должно быть новым, изготовленным не ранее 2025 года, не находившимся в эксплуатации, без повреждений, следов воздействия влаги и следов вскрытия.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родукция должна быть поставлена в упаковке производителя, не нарушенной, обеспечивающей сохранность от всякого рода повреждений при перевозке любыми видами транспорта, а также предохраняющей поставляемую продукцию от внешних воздействий. Маркировка упаковк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и должна соответствовать ГОСТ 25880-83.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73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118"/>
        </w:trPr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left"/>
              <w:spacing w:before="60" w:after="60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6.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3"/>
            <w:tcW w:w="7241" w:type="dxa"/>
            <w:vAlign w:val="center"/>
            <w:vMerge w:val="restart"/>
            <w:textDirection w:val="lrTb"/>
            <w:noWrap w:val="false"/>
          </w:tcPr>
          <w:p>
            <w:pPr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Требования к участнику закупки, признанным победителем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  <w:p>
            <w:r/>
            <w:r/>
          </w:p>
        </w:tc>
        <w:tc>
          <w:tcPr>
            <w:tcW w:w="2515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469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9"/>
                <w:szCs w:val="19"/>
                <w:highlight w:val="none"/>
              </w:rPr>
              <w:t xml:space="preserve">Участник, признанный победителем закупочной процедуры, в течение 10 рабочих дней с даты официального размещения Организатором итогового протокола по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9"/>
                <w:szCs w:val="19"/>
                <w:highlight w:val="none"/>
              </w:rPr>
              <w:t xml:space="preserve">резу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9"/>
                <w:szCs w:val="19"/>
                <w:highlight w:val="none"/>
              </w:rPr>
              <w:t xml:space="preserve">льтатам закупки (до заключения договора) на адрес электронной почты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9"/>
                <w:szCs w:val="19"/>
                <w:highlight w:val="none"/>
              </w:rPr>
              <w:t xml:space="preserve">nekhoroshikh-na@dgk.ru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9"/>
                <w:szCs w:val="19"/>
                <w:highlight w:val="none"/>
              </w:rPr>
              <w:t xml:space="preserve"> должен предоставить: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ind w:left="0" w:firstLine="0"/>
              <w:jc w:val="both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9"/>
                <w:szCs w:val="19"/>
                <w:highlight w:val="none"/>
              </w:rPr>
              <w:t xml:space="preserve">- Регистрационные номера сертификата или декларации о соответствии или копию сертификата или декларации о соответствии на предлагаемую продукцию;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ind w:left="0" w:firstLine="0"/>
              <w:jc w:val="both"/>
              <w:spacing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9"/>
                <w:szCs w:val="19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- Технический паспорт на насос, либо ранее изготовленный аналогичный насос;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ind w:left="0" w:firstLine="0"/>
              <w:jc w:val="both"/>
              <w:spacing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- Технический паспорт на двигатель, либо ранее изготовленный аналогичный электродвигатель</w:t>
            </w:r>
            <w:r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9"/>
                <w:szCs w:val="19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/>
          </w:p>
        </w:tc>
        <w:tc>
          <w:tcPr>
            <w:tcW w:w="2173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</w:tbl>
    <w:p>
      <w:pP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</w:pPr>
      <w:r>
        <w:rPr>
          <w:rStyle w:val="948"/>
          <w:rFonts w:ascii="Times New Roman" w:hAnsi="Times New Roman" w:cs="Times New Roman"/>
          <w:b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</w:r>
    </w:p>
    <w:p>
      <w:pP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</w:pPr>
      <w:r>
        <w:rPr>
          <w:rStyle w:val="948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</w:r>
    </w:p>
    <w:p>
      <w:pP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</w:pPr>
      <w:r>
        <w:rPr>
          <w:rStyle w:val="948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</w:r>
    </w:p>
    <w:p>
      <w:pP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</w:pPr>
      <w:r>
        <w:rPr>
          <w:rStyle w:val="948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</w:r>
    </w:p>
    <w:p>
      <w:pP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</w:pPr>
      <w:r>
        <w:rPr>
          <w:rStyle w:val="948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</w:r>
    </w:p>
    <w:p>
      <w:pP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</w:pPr>
      <w:r>
        <w:rPr>
          <w:rStyle w:val="948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</w:r>
    </w:p>
    <w:p>
      <w:pP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none"/>
        </w:rPr>
      </w:r>
    </w:p>
    <w:p>
      <w:pPr>
        <w:pStyle w:val="754"/>
        <w:widowControl w:val="off"/>
        <w:rPr>
          <w:rFonts w:ascii="Times New Roman" w:hAnsi="Times New Roman" w:cs="Times New Roman"/>
          <w:b/>
          <w:bCs/>
          <w:color w:val="ff0000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 w:themeColor="text1"/>
          <w:sz w:val="24"/>
          <w:szCs w:val="24"/>
          <w:highlight w:val="none"/>
        </w:rPr>
        <w:t xml:space="preserve">Наименование продукции (позиция №3 Таблицы 1.1): </w:t>
      </w:r>
      <w:r>
        <w:rPr>
          <w:rStyle w:val="948"/>
          <w:rFonts w:ascii="Times New Roman" w:hAnsi="Times New Roman" w:eastAsia="Times New Roman" w:cs="Times New Roman" w:eastAsiaTheme="minorEastAsia"/>
          <w:b/>
          <w:bCs/>
          <w:i w:val="0"/>
          <w:color w:val="000000" w:themeColor="text1"/>
          <w:sz w:val="24"/>
          <w:szCs w:val="24"/>
          <w:highlight w:val="white"/>
          <w:u w:val="single"/>
        </w:rPr>
        <w:t xml:space="preserve">Насосный агрегат ГрАТ 950/120/1V- М1-1,6 (на параметры Q=950 мЗ/ч, Н= 120 м) на общей раме с электродвигателем 1000 кВт. 1000 об/мин. 6000В</w:t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highlight w:val="white"/>
        </w:rPr>
      </w:r>
    </w:p>
    <w:p>
      <w:pPr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highlight w:val="none"/>
          <w:u w:val="single"/>
        </w:rPr>
      </w:pP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  <w:highlight w:val="none"/>
          <w:u w:val="single"/>
        </w:rPr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highlight w:val="none"/>
          <w:u w:val="single"/>
        </w:rPr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highlight w:val="none"/>
          <w:u w:val="single"/>
        </w:rPr>
      </w:r>
    </w:p>
    <w:tbl>
      <w:tblPr>
        <w:tblpPr w:horzAnchor="text" w:tblpXSpec="left" w:vertAnchor="text" w:tblpY="1" w:leftFromText="180" w:topFromText="0" w:rightFromText="180" w:bottomFromText="0"/>
        <w:tblW w:w="151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3"/>
        <w:gridCol w:w="3685"/>
        <w:gridCol w:w="2528"/>
        <w:gridCol w:w="2469"/>
        <w:gridCol w:w="2173"/>
      </w:tblGrid>
      <w:tr>
        <w:tblPrEx/>
        <w:trPr/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№ п/п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35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Наименование параметра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368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Требование заказчика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499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Способ подтверждения участником соответствия требованиям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Предложение участника по характеристикам и параметрам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543" w:type="dxa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685" w:type="dxa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52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 Согласие с требованием/Указание характеристик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46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Предоставление подтверждающего документа на этапе закупки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73" w:type="dxa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</w:p>
        </w:tc>
        <w:tc>
          <w:tcPr>
            <w:tcW w:w="354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52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46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5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7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1.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7228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Требования к техническим и функциональным характеристикам сетевых насосов (включая гарантируемые показатели)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52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7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ind w:left="0"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1.1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5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Тип  насоса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68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Центробежный горизонтальный одноступенчатый консольный насос с односторонним подводом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28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ind w:left="0"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1.2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5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Производительность (не менее), (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highlight w:val="none"/>
              </w:rPr>
              <w:t xml:space="preserve">м3/ч)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68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950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28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ind w:left="0"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1.3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5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Напор (не менее)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, 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68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120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28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33"/>
              </w:numPr>
              <w:contextualSpacing/>
              <w:ind w:left="-117" w:firstLine="142"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5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КПД (не менее), %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68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50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28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1.6.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5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Частота вращения (не менее), об/мин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68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1000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28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1.7.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5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Кавитационный запас (не более), 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68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7,5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28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1.8.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5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Рабочая температура среды,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vertAlign w:val="superscript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685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5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÷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70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28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1.9.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5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Уплотнение вала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68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сальниковое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28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73"/>
        </w:trPr>
        <w:tc>
          <w:tcPr>
            <w:tcW w:w="709" w:type="dxa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1.10.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5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Тип соединительной полумуфты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68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Втулочно-пальцевая муфта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28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1.11.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5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Вид привода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68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Электрический (электродвигатель)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28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2.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7228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Требования к электродвигателю: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2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 // 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 // 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 // 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99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2.1.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5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Мощность в продолжительном режиме работы (не менее), кВт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68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1000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28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2.2.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5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Номинальное напряжение на зажимах выводов изделия, кВ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68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6,3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28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635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2.3.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5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Количество фаз и способ их соединения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68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3 фазы (звезда)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28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2.4.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5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Синхронная частота вращения (не менее), об/мин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68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1000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28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2.5.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5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Направление вращения вала, если смотреть со стороны рабочего механизма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68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реверсивное, с возможностью переключения фаз в БРНО, для изменения направления вращения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28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2.6.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5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Частота тока питающей сети, Гц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68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50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28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55"/>
        </w:trPr>
        <w:tc>
          <w:tcPr>
            <w:tcW w:w="709" w:type="dxa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2.7.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5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Коэффициент мощности (не менее)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68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Не менее 0,8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28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628"/>
        </w:trPr>
        <w:tc>
          <w:tcPr>
            <w:tcW w:w="709" w:type="dxa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2.8.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5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Климатическое исполнение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68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 w:eastAsiaTheme="minorEastAsia"/>
                <w:color w:val="000000" w:themeColor="text1"/>
                <w:sz w:val="24"/>
                <w:szCs w:val="24"/>
                <w:highlight w:val="none"/>
              </w:rPr>
              <w:t xml:space="preserve">У1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28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2.9.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5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Исполнение на единой раме с насосом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68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28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2.10.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Тип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685" w:type="dxa"/>
            <w:vMerge w:val="restart"/>
            <w:textDirection w:val="lrTb"/>
            <w:noWrap w:val="false"/>
          </w:tcPr>
          <w:p>
            <w:pPr>
              <w:pStyle w:val="754"/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АДЧР-1000-6,0-6У1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28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2.11.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Требование к системе охлаждения электродвигателя АЧДР.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685" w:type="dxa"/>
            <w:vMerge w:val="restart"/>
            <w:textDirection w:val="lrTb"/>
            <w:noWrap w:val="false"/>
          </w:tcPr>
          <w:p>
            <w:pPr>
              <w:pStyle w:val="754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Данный эл.двигатель должен быть оснащен установленным механическим вентилятором,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установленным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 на вал со свободной стороны (подшипник №1), для возможности работы при «прямом» включении эл.двигателя от сети 6 кВ.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2528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2.12.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Расположение БРНО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685" w:type="dxa"/>
            <w:vMerge w:val="restart"/>
            <w:textDirection w:val="lrTb"/>
            <w:noWrap w:val="false"/>
          </w:tcPr>
          <w:p>
            <w:pPr>
              <w:jc w:val="left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 левой стороны эл.двигателя, при осмотре со свободной стороны вала эл. двиг. (со стороны подшипника №1).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2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2.13.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543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КИП установленный на электродвигателе.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685" w:type="dxa"/>
            <w:vMerge w:val="restart"/>
            <w:textDirection w:val="lrTb"/>
            <w:noWrap w:val="false"/>
          </w:tcPr>
          <w:p>
            <w:pPr>
              <w:ind w:left="0" w:firstLine="0"/>
              <w:jc w:val="left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1.Температурный контроль подшипников эл.двигателя: по 1 точке на каждом из двух подшипников эл.двигателя.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ind w:left="0" w:firstLine="0"/>
              <w:jc w:val="left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2.Температурный контроль статора эл.двигателя: по 2 точки на каждую из трех фаз эл.двигателя.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ind w:left="0" w:firstLine="0"/>
              <w:jc w:val="left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3. Провода термодатчиков температурного контроля эл.двиг. выведены в металлическую соединительную коробку (IP не менее 65)  и подключены к клеммам коробки. Коробка закреплена на наружной боковой стенке эл.двигателя.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52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Указание характеристик</w:t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</w:p>
        </w:tc>
        <w:tc>
          <w:tcPr>
            <w:shd w:val="clear" w:color="ffffff" w:fill="ffffff"/>
            <w:tcW w:w="246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173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336"/>
        </w:trPr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3.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7228" w:type="dxa"/>
            <w:vAlign w:val="center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Прочие (дополнительные) требования к продукции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528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 // 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46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 // 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73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 // 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992"/>
        </w:trPr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t xml:space="preserve">3.1.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7228" w:type="dxa"/>
            <w:vAlign w:val="center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В комплект поставки входит ЗИП: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Комплект запасных подшипников (по 1 шт.) каждого наименования, а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алогичных установленным в корпусе эл. двигателя АЧДР.                                 </w:t>
              <w:br/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. Запасной изолятор в БРНО-1 шт.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r>
          </w:p>
          <w:p>
            <w:pPr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3. С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ал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ьниковые уплотнения - 1 комплект, комплект подшипников на насос - по 1шт. каждого наименования, комплект РТИ - 1 комплект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528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46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73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490"/>
        </w:trPr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left="0"/>
              <w:jc w:val="left"/>
              <w:spacing w:before="60" w:after="60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3.2.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3543" w:type="dxa"/>
            <w:vAlign w:val="center"/>
            <w:vMerge w:val="restart"/>
            <w:textDirection w:val="lrTb"/>
            <w:noWrap w:val="false"/>
          </w:tcPr>
          <w:p>
            <w:pPr>
              <w:pStyle w:val="1049"/>
              <w:ind w:firstLine="0"/>
              <w:spacing w:before="0" w:line="240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При осуществлении закупки товара,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если Правительством РФ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установлено </w:t>
            </w:r>
            <w:hyperlink r:id="rId14" w:tooltip="https://login.consultant.ru/link/?req=doc&amp;base=LAW&amp;n=494318&amp;dst=100007" w:history="1">
              <w:r>
                <w:rPr>
                  <w:rFonts w:eastAsia="Times New Roman"/>
                  <w:sz w:val="20"/>
                  <w:szCs w:val="20"/>
                  <w:lang w:eastAsia="ru-RU"/>
                </w:rPr>
                <w:t xml:space="preserve">ограничение</w:t>
              </w:r>
            </w:hyperlink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закупок товаров, происходящих из иностранных государств (по перечню </w:t>
            </w:r>
            <w:r>
              <w:rPr>
                <w:rFonts w:eastAsia="Times New Roman"/>
                <w:sz w:val="20"/>
                <w:szCs w:val="20"/>
                <w:shd w:val="clear" w:color="auto" w:fill="ffffff"/>
              </w:rPr>
              <w:t xml:space="preserve">согласно приложению N 2 ПП РФ № 1875)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,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1049"/>
              <w:ind w:firstLine="0"/>
              <w:spacing w:before="0" w:line="240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не допускаются: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1049"/>
              <w:ind w:firstLine="0"/>
              <w:spacing w:before="0" w:line="240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е предложение, признанные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конкурентной закупки) и содержащие предложения о поставке товара российского происхождения,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1049"/>
              <w:ind w:firstLine="0"/>
              <w:spacing w:before="0" w:line="240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, по перечню согласно приложению N 2 ПП РФ № 1875.</w:t>
            </w:r>
            <w:r>
              <w:rPr>
                <w:sz w:val="20"/>
                <w:szCs w:val="20"/>
                <w:shd w:val="clear" w:color="auto" w:fill="ffffff"/>
              </w:rPr>
            </w:r>
            <w:r>
              <w:rPr>
                <w:sz w:val="20"/>
                <w:szCs w:val="20"/>
                <w:shd w:val="clear" w:color="auto" w:fill="ffffff"/>
              </w:rPr>
            </w:r>
          </w:p>
        </w:tc>
        <w:tc>
          <w:tcPr>
            <w:tcW w:w="3685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  <w:t xml:space="preserve">Поставляемая продукция должна быть </w:t>
            </w:r>
            <w:r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  <w:t xml:space="preserve"> подтверждена</w:t>
            </w:r>
            <w:r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  <w:t xml:space="preserve">документами и информаци</w:t>
            </w:r>
            <w:r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  <w:t xml:space="preserve">ей</w:t>
            </w:r>
            <w:r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  <w:t xml:space="preserve">, подтверждающие страну происхождения товара</w:t>
            </w:r>
            <w:r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>
              <w:rPr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в соответствии с требованиями Постановления Правительства Российско</w:t>
            </w:r>
            <w:r>
              <w:rPr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й Федерации от 23 декабря 2024 г. N 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лиц”.</w:t>
            </w:r>
            <w:r>
              <w:rPr>
                <w:iCs/>
                <w:color w:val="000000" w:themeColor="text1"/>
                <w:sz w:val="24"/>
                <w:szCs w:val="24"/>
                <w:shd w:val="clear" w:color="auto" w:fill="ffffff"/>
              </w:rPr>
            </w:r>
            <w:r>
              <w:rPr>
                <w:iCs/>
                <w:color w:val="000000" w:themeColor="text1"/>
                <w:sz w:val="24"/>
                <w:szCs w:val="24"/>
                <w:shd w:val="clear" w:color="auto" w:fill="ffffff"/>
              </w:rPr>
            </w:r>
          </w:p>
          <w:p>
            <w:pPr>
              <w:widowControl w:val="off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528" w:type="dxa"/>
            <w:vMerge w:val="restart"/>
            <w:textDirection w:val="lrTb"/>
            <w:noWrap w:val="false"/>
          </w:tcPr>
          <w:p>
            <w:pPr>
              <w:jc w:val="left"/>
              <w:widowControl w:val="off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left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469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 w:eastAsiaTheme="minorHAnsi"/>
                <w:bCs w:val="0"/>
                <w:i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4"/>
                <w:szCs w:val="24"/>
                <w:lang w:eastAsia="en-US"/>
              </w:rPr>
              <w:t xml:space="preserve">-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4"/>
                <w:szCs w:val="24"/>
                <w:lang w:eastAsia="en-US"/>
              </w:rPr>
              <w:t xml:space="preserve">Участник должен предоставить в составе заявки Коммерческое предложение по форме, установленной документацией о закупке, с указанием в отношении поставляемой продукции информации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4"/>
                <w:szCs w:val="24"/>
                <w:lang w:val="ru-RU" w:eastAsia="en-US"/>
              </w:rPr>
              <w:t xml:space="preserve">: о наименовании реестра(реестров),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4"/>
                <w:szCs w:val="24"/>
                <w:lang w:eastAsia="en-US"/>
              </w:rPr>
              <w:t xml:space="preserve"> о номере (номерах) реестровой записи (реестровых записей) соответствующих реестров.</w:t>
            </w:r>
            <w:r>
              <w:rPr>
                <w:rFonts w:ascii="Times New Roman" w:hAnsi="Times New Roman" w:cs="Times New Roman" w:eastAsiaTheme="minorHAnsi"/>
                <w:bCs w:val="0"/>
                <w:i w:val="0"/>
                <w:color w:val="auto"/>
                <w:sz w:val="24"/>
                <w:szCs w:val="24"/>
                <w:highlight w:val="none"/>
                <w:lang w:eastAsia="en-US"/>
              </w:rPr>
            </w:r>
            <w:r>
              <w:rPr>
                <w:rFonts w:ascii="Times New Roman" w:hAnsi="Times New Roman" w:cs="Times New Roman" w:eastAsiaTheme="minorHAnsi"/>
                <w:bCs w:val="0"/>
                <w:i w:val="0"/>
                <w:color w:val="auto"/>
                <w:sz w:val="24"/>
                <w:szCs w:val="24"/>
                <w:highlight w:val="none"/>
                <w:lang w:eastAsia="en-US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73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27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4.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7228" w:type="dxa"/>
            <w:textDirection w:val="lrTb"/>
            <w:noWrap w:val="false"/>
          </w:tcPr>
          <w:p>
            <w:pPr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</w:rPr>
              <w:t xml:space="preserve">Требования к гарантиям, гарантийному и послегарантийному обслуживанию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52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7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459"/>
        </w:trPr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left"/>
              <w:spacing w:before="60" w:after="60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t xml:space="preserve">4.1.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7228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  <w:t xml:space="preserve">Гарантийный срок на продукцию по позиции 3 Таблицы 1.1 – согласно гарантий завода-производителя, но не менее 12 (двенадцать) календарных месяцев с даты подписания Покупателем (грузополучателем) УПД.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528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46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73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5.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7228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Требования к доставке, маркировке, упаковке, транспортировке, перемещению, условиям хранения, приемке и испытаниям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52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 // 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 // 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7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 // 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5.1.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jc w:val="both"/>
              <w:spacing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Место поставки, отгрузочные реквизиты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ind w:left="72"/>
              <w:jc w:val="center"/>
              <w:rPr>
                <w:rFonts w:ascii="Times New Roman" w:hAnsi="Times New Roman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АО "ДГК" СП "Партизанская ГРЭС", 692860, Приморский край, г. Партизанск, ул. Свердлова, д.2 </w:t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ИНН/КПП 1434031363/250932001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528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469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603"/>
        </w:trPr>
        <w:tc>
          <w:tcPr>
            <w:tcW w:w="709" w:type="dxa"/>
            <w:vAlign w:val="center"/>
            <w:textDirection w:val="lrTb"/>
            <w:noWrap w:val="false"/>
          </w:tcPr>
          <w:p>
            <w:r>
              <w:rPr>
                <w:sz w:val="24"/>
                <w:szCs w:val="24"/>
              </w:rPr>
              <w:t xml:space="preserve">5.2.</w:t>
            </w:r>
            <w:r/>
          </w:p>
        </w:tc>
        <w:tc>
          <w:tcPr>
            <w:gridSpan w:val="2"/>
            <w:tcW w:w="7228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Оборудование должно быть новым, изготовленным не ранее 2025 года, не находившимся в эксплуатации, без повреждений, следов воздействия влаги и следов вскрытия.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родукция должна быть поставлена в упаковке производителя, не нарушенной, обеспечивающей сохранность от всякого рода повреждений при перевозке любыми видами транспорта, а также предохраняющей поставляемую продукцию от внешних воздействий. Маркировка упаковк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и должна соответствовать ГОСТ 25880-83.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528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469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49"/>
        </w:trPr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left"/>
              <w:spacing w:before="60" w:after="60"/>
              <w:widowControl w:val="off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6.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contextualSpacing/>
              <w:jc w:val="left"/>
              <w:spacing w:before="60" w:after="60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7228" w:type="dxa"/>
            <w:vAlign w:val="center"/>
            <w:vMerge w:val="restart"/>
            <w:textDirection w:val="lrTb"/>
            <w:noWrap w:val="false"/>
          </w:tcPr>
          <w:p>
            <w:pPr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Требования к участнику закупки, признанным победителем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  <w:p>
            <w:r/>
            <w:r/>
          </w:p>
        </w:tc>
        <w:tc>
          <w:tcPr>
            <w:tcW w:w="2528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2469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Участник, признанный победителем закупочной процедуры, в течение 10 рабочих дней с даты официального размещения Организатором итогового протокола по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резу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льтатам закупки (до заключения договора) на адрес электронной почты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nekhoroshikh-na@dgk.ru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 должен предоставить: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ind w:left="0" w:firstLine="0"/>
              <w:jc w:val="both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- Регистрационные номера сертификата или декларации о соответствии или копию сертификата или декларации о соответствии на предлагаемую продукцию;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ind w:left="0" w:firstLine="0"/>
              <w:jc w:val="both"/>
              <w:spacing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- Технический паспорт на насос, либо ранее изготовленный аналогичный насос;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- Технический паспорт на двигатель, либо ранее изготовленный аналогичный электродвигатель</w:t>
            </w:r>
            <w:r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highlight w:val="none"/>
              </w:rPr>
            </w:r>
          </w:p>
        </w:tc>
        <w:tc>
          <w:tcPr>
            <w:tcW w:w="2173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</w:tbl>
    <w:p>
      <w:pPr>
        <w:jc w:val="left"/>
        <w:rPr>
          <w:rFonts w:ascii="Times New Roman" w:hAnsi="Times New Roman" w:eastAsia="Times New Roman" w:cs="Times New Roman"/>
          <w:color w:val="000000" w:themeColor="text1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</w:p>
    <w:p>
      <w:pPr>
        <w:jc w:val="left"/>
        <w:rPr>
          <w:rFonts w:ascii="Times New Roman" w:hAnsi="Times New Roman" w:eastAsia="Times New Roman" w:cs="Times New Roman"/>
          <w:color w:val="000000" w:themeColor="text1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</w:p>
    <w:p>
      <w:pPr>
        <w:jc w:val="left"/>
        <w:rPr>
          <w:rFonts w:ascii="Times New Roman" w:hAnsi="Times New Roman" w:eastAsia="Times New Roman" w:cs="Times New Roman"/>
          <w:color w:val="000000" w:themeColor="text1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</w:p>
    <w:p>
      <w:pPr>
        <w:jc w:val="left"/>
        <w:rPr>
          <w:rFonts w:ascii="Times New Roman" w:hAnsi="Times New Roman" w:cs="Times New Roman" w:eastAsiaTheme="minorEastAsia"/>
          <w:bCs w:val="0"/>
          <w:i w:val="0"/>
          <w:color w:val="000000" w:themeColor="text1"/>
          <w:sz w:val="24"/>
          <w:szCs w:val="24"/>
          <w:highlight w:val="white"/>
          <w:u w:val="single"/>
        </w:rPr>
      </w:pPr>
      <w:r>
        <w:rPr>
          <w:rStyle w:val="948"/>
          <w:rFonts w:ascii="Times New Roman" w:hAnsi="Times New Roman" w:eastAsia="Times New Roman" w:cs="Times New Roman" w:eastAsiaTheme="minorEastAsia"/>
          <w:i w:val="0"/>
          <w:color w:val="000000" w:themeColor="text1"/>
          <w:sz w:val="24"/>
          <w:szCs w:val="24"/>
          <w:highlight w:val="none"/>
          <w:u w:val="single"/>
        </w:rPr>
      </w:r>
      <w:r>
        <w:rPr>
          <w:rFonts w:ascii="Times New Roman" w:hAnsi="Times New Roman" w:cs="Times New Roman" w:eastAsiaTheme="minorEastAsia"/>
          <w:bCs w:val="0"/>
          <w:i w:val="0"/>
          <w:color w:val="000000" w:themeColor="text1"/>
          <w:sz w:val="24"/>
          <w:szCs w:val="24"/>
          <w:highlight w:val="white"/>
          <w:u w:val="single"/>
        </w:rPr>
      </w:r>
      <w:r>
        <w:rPr>
          <w:rFonts w:ascii="Times New Roman" w:hAnsi="Times New Roman" w:cs="Times New Roman" w:eastAsiaTheme="minorEastAsia"/>
          <w:bCs w:val="0"/>
          <w:i w:val="0"/>
          <w:color w:val="000000" w:themeColor="text1"/>
          <w:sz w:val="24"/>
          <w:szCs w:val="24"/>
          <w:highlight w:val="white"/>
          <w:u w:val="single"/>
        </w:rPr>
      </w:r>
    </w:p>
    <w:p>
      <w:pPr>
        <w:jc w:val="center"/>
        <w:rPr>
          <w:rFonts w:ascii="Times New Roman" w:hAnsi="Times New Roman" w:cs="Times New Roman" w:eastAsiaTheme="minorEastAsia"/>
          <w:bCs w:val="0"/>
          <w:i w:val="0"/>
          <w:color w:val="000000" w:themeColor="text1"/>
          <w:sz w:val="24"/>
          <w:szCs w:val="24"/>
          <w:highlight w:val="none"/>
          <w:u w:val="single"/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r>
        <w:rPr>
          <w:rFonts w:ascii="Times New Roman" w:hAnsi="Times New Roman" w:eastAsia="Times New Roman" w:cs="Times New Roman"/>
          <w:b/>
          <w:bCs/>
          <w:i/>
          <w:iCs/>
          <w:color w:val="000000" w:themeColor="text1"/>
          <w:sz w:val="24"/>
          <w:szCs w:val="24"/>
          <w:highlight w:val="none"/>
        </w:rPr>
        <w:t xml:space="preserve">Наименование продукции (позиция №4 Таблицы 1.1):</w:t>
      </w:r>
      <w:r>
        <w:rPr>
          <w:rFonts w:ascii="Times New Roman" w:hAnsi="Times New Roman" w:eastAsia="Times New Roman" w:cs="Times New Roman"/>
          <w:b/>
          <w:bCs/>
          <w:i/>
          <w:iCs/>
          <w:color w:val="ff0000"/>
          <w:sz w:val="24"/>
          <w:szCs w:val="24"/>
          <w:highlight w:val="white"/>
        </w:rPr>
        <w:t xml:space="preserve"> </w:t>
      </w:r>
      <w:r>
        <w:rPr>
          <w:rStyle w:val="948"/>
          <w:rFonts w:ascii="Times New Roman" w:hAnsi="Times New Roman" w:eastAsia="Times New Roman" w:cs="Times New Roman" w:eastAsiaTheme="minorEastAsia"/>
          <w:i w:val="0"/>
          <w:color w:val="000000" w:themeColor="text1"/>
          <w:sz w:val="24"/>
          <w:szCs w:val="24"/>
          <w:highlight w:val="white"/>
          <w:u w:val="single"/>
        </w:rPr>
        <w:t xml:space="preserve">Насосный агрегат 1Д630-90 </w:t>
      </w:r>
      <w:r>
        <w:rPr>
          <w:rStyle w:val="948"/>
          <w:rFonts w:ascii="Times New Roman" w:hAnsi="Times New Roman" w:eastAsia="Times New Roman" w:cs="Times New Roman" w:eastAsiaTheme="minorEastAsia"/>
          <w:i w:val="0"/>
          <w:color w:val="000000" w:themeColor="text1"/>
          <w:sz w:val="24"/>
          <w:szCs w:val="24"/>
          <w:highlight w:val="white"/>
          <w:u w:val="single"/>
        </w:rPr>
        <w:t xml:space="preserve">центробежного горизонтального на раме</w:t>
      </w:r>
      <w:r>
        <w:rPr>
          <w:rFonts w:ascii="Times New Roman" w:hAnsi="Times New Roman" w:cs="Times New Roman" w:eastAsiaTheme="minorEastAsia"/>
          <w:bCs w:val="0"/>
          <w:i w:val="0"/>
          <w:color w:val="000000" w:themeColor="text1"/>
          <w:sz w:val="24"/>
          <w:szCs w:val="24"/>
          <w:highlight w:val="none"/>
          <w:u w:val="single"/>
        </w:rPr>
      </w:r>
      <w:r>
        <w:rPr>
          <w:rFonts w:ascii="Times New Roman" w:hAnsi="Times New Roman" w:cs="Times New Roman" w:eastAsiaTheme="minorEastAsia"/>
          <w:bCs w:val="0"/>
          <w:i w:val="0"/>
          <w:color w:val="000000" w:themeColor="text1"/>
          <w:sz w:val="24"/>
          <w:szCs w:val="24"/>
          <w:highlight w:val="none"/>
          <w:u w:val="single"/>
        </w:rPr>
      </w:r>
    </w:p>
    <w:p>
      <w:pPr>
        <w:jc w:val="both"/>
        <w:rPr>
          <w:color w:val="000000" w:themeColor="text1"/>
        </w:rPr>
      </w:pPr>
      <w:r>
        <w:rPr>
          <w:rStyle w:val="948"/>
          <w:rFonts w:ascii="Times New Roman" w:hAnsi="Times New Roman" w:eastAsia="Times New Roman" w:cs="Times New Roman" w:eastAsiaTheme="minorEastAsia"/>
          <w:i w:val="0"/>
          <w:color w:val="000000" w:themeColor="text1"/>
          <w:sz w:val="24"/>
          <w:szCs w:val="24"/>
          <w:highlight w:val="white"/>
          <w:u w:val="single"/>
        </w:rPr>
        <w:t xml:space="preserve">Q=630м3/ч, H=90 м в.ст. </w:t>
      </w:r>
      <w:r>
        <w:rPr>
          <w:rStyle w:val="948"/>
          <w:rFonts w:ascii="Times New Roman" w:hAnsi="Times New Roman" w:eastAsia="Times New Roman" w:cs="Times New Roman" w:eastAsiaTheme="minorEastAsia"/>
          <w:i w:val="0"/>
          <w:color w:val="000000" w:themeColor="text1"/>
          <w:sz w:val="24"/>
          <w:szCs w:val="24"/>
          <w:highlight w:val="white"/>
          <w:u w:val="single"/>
        </w:rPr>
        <w:t xml:space="preserve">Э/д ДАВ-250-4УЗ P=250кВт U=6000В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highlight w:val="none"/>
          <w:u w:val="single"/>
        </w:rPr>
      </w:pPr>
      <w:r>
        <w:rPr>
          <w:rFonts w:ascii="Times New Roman" w:hAnsi="Times New Roman" w:eastAsia="Times New Roman" w:cs="Times New Roman"/>
          <w:b/>
          <w:i/>
          <w:color w:val="000000" w:themeColor="text1"/>
          <w:sz w:val="24"/>
          <w:szCs w:val="24"/>
          <w:highlight w:val="none"/>
          <w:u w:val="single"/>
        </w:rPr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highlight w:val="none"/>
          <w:u w:val="single"/>
        </w:rPr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highlight w:val="none"/>
          <w:u w:val="single"/>
        </w:rPr>
      </w:r>
    </w:p>
    <w:tbl>
      <w:tblPr>
        <w:tblpPr w:horzAnchor="text" w:tblpXSpec="left" w:vertAnchor="text" w:tblpY="1" w:leftFromText="180" w:topFromText="0" w:rightFromText="180" w:bottomFromText="0"/>
        <w:tblW w:w="15107" w:type="dxa"/>
        <w:tblLayout w:type="fixed"/>
        <w:tblLook w:val="04A0" w:firstRow="1" w:lastRow="0" w:firstColumn="1" w:lastColumn="0" w:noHBand="0" w:noVBand="1"/>
      </w:tblPr>
      <w:tblGrid>
        <w:gridCol w:w="709"/>
        <w:gridCol w:w="3543"/>
        <w:gridCol w:w="3698"/>
        <w:gridCol w:w="2515"/>
        <w:gridCol w:w="2469"/>
        <w:gridCol w:w="217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№ п/п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Наименование параметра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Требование заказчика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Способ подтверждения участником соответствия требованиям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Предложение участника по характеристикам и параметрам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8" w:type="dxa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 Согласие с требованием/Указание характеристик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Предоставление подтверждающего документа на этапе закупки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5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contextualSpacing/>
              <w:ind w:left="0" w:firstLine="0"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41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Требования к техническим и функциональным характеристикам сетевых насосов (включая гарантируемые показатели)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contextualSpacing/>
              <w:ind w:left="0" w:firstLine="0"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1.1.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Тип  насоса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Центробежный двухстороннего входа типа 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contextualSpacing/>
              <w:ind w:left="0" w:firstLine="0"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1.2.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Производительность (не менее), (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highlight w:val="none"/>
              </w:rPr>
              <w:t xml:space="preserve">м3/ч)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630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contextualSpacing/>
              <w:ind w:left="0" w:firstLine="0"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1.3.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Напор (не менее)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, 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90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contextualSpacing/>
              <w:ind w:left="0" w:firstLine="0"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1.4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КПД (не менее), %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77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1.5.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Частота вращения (не менее), об/мин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1450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25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1.6.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Кавитационный запас (не более), 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5,5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1.7.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Рабочая температура среды,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vertAlign w:val="superscript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8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5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÷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70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1.8.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Уплотнение вала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сальниковое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1.9.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Тип соединительной полумуфты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Втулочно-пальцевая муфта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1.10.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Вид привода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Электрический (электродвигатель)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2.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4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ребования к электродвигателю: тип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highlight w:val="none"/>
              </w:rPr>
              <w:t xml:space="preserve"> А4-355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highlight w:val="none"/>
                <w:lang w:val="en-US"/>
              </w:rPr>
              <w:t xml:space="preserve">L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highlight w:val="none"/>
              </w:rPr>
              <w:t xml:space="preserve">-4УЗ(6000В; 250кВт; 1500 об/мин)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 // 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 // 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 // 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2.1.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Мощность в продолжительном режиме работы (не менее), кВт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250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2.2.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Номинальное напряжение на зажимах выводов изделия, кВ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6,3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6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2.3.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Количество фаз и способ их соединения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3 фазы (звезда)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2.4.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Синхронная частота вращения (не менее), об/мин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1500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2.5.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Направление вращения вала, если смотреть со стороны рабочего механизма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реверсивное, с возможностью переключения фаз в БРНО, для изменения направления вращения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2.6.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Частота тока питающей сети, Гц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50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8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2.7.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Коэффициент мощности (не менее)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Не менее 0,8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62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2.8.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Климатическое исполнение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 w:eastAsiaTheme="minorEastAsia"/>
                <w:color w:val="000000" w:themeColor="text1"/>
                <w:sz w:val="24"/>
                <w:szCs w:val="24"/>
                <w:highlight w:val="none"/>
              </w:rPr>
              <w:t xml:space="preserve">У1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2.9.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Исполнение на единой раме с насосом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2.10.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Тип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8" w:type="dxa"/>
            <w:textDirection w:val="lrTb"/>
            <w:noWrap w:val="false"/>
          </w:tcPr>
          <w:p>
            <w:pPr>
              <w:pStyle w:val="754"/>
              <w:rPr>
                <w:rFonts w:ascii="Times New Roman" w:hAnsi="Times New Roman" w:cs="Times New Roman"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highlight w:val="none"/>
              </w:rPr>
              <w:t xml:space="preserve">            А4-355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highlight w:val="none"/>
                <w:lang w:val="en-US"/>
              </w:rPr>
              <w:t xml:space="preserve">L-4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highlight w:val="none"/>
              </w:rPr>
              <w:t xml:space="preserve">УЗ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Указать характеристики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2.11.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Расположение БРНО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 левой стороны эл.двигателя, при осмотре со свободной стороны вала эл. двиг. (со стороны подшипника №1).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2.12.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КИП электродвигателя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8" w:type="dxa"/>
            <w:textDirection w:val="lrTb"/>
            <w:noWrap w:val="false"/>
          </w:tcPr>
          <w:p>
            <w:pPr>
              <w:ind w:left="0" w:firstLine="0"/>
              <w:jc w:val="left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1.Температурный контроль подшипников эл.двигателя: по 1 точке на каждом из двух подшипников эл.двигателя.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ind w:left="0" w:firstLine="0"/>
              <w:jc w:val="left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2.Температурный контроль статора эл.двигателя: по 2 точки на каждую из трех фаз эл.двигателя.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ind w:left="0" w:firstLine="0"/>
              <w:jc w:val="left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3. Провода термодатчиков температурного контроля эл.двиг. выведены в металлическую соединительную коробку (IP не менее 65)  и подключены к клеммам коробки. Коробка закреплена на наружной боковой стенке эл.двигателя.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Указание характеристик</w:t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contextualSpacing/>
              <w:ind w:left="0"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.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41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Прочие (дополнительные) требования к продукции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123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contextualSpacing/>
              <w:ind w:left="0"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t xml:space="preserve">3.1.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41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В комплект поставки входит: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ЗИП торцевых уплотнений - 1 комплект,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комплект подшипников на насос - по 1шт. каждого наименования, комплект РТИ- 1 комплект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Комплект запасных подшипников (по 1 шт.) каждого наименования, установленного в корпусе данного  электродвигателя. Запасной изолятор в БРНО-1 шт.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spacing w:after="113" w:afterAutospacing="0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t xml:space="preserve">Цвет электродвигателя - синий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textDirection w:val="lrTb"/>
            <w:noWrap w:val="false"/>
          </w:tcPr>
          <w:p>
            <w:pPr>
              <w:jc w:val="left"/>
              <w:widowControl w:val="off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4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left="0"/>
              <w:jc w:val="left"/>
              <w:spacing w:before="60" w:after="60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3.2.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vMerge w:val="restart"/>
            <w:textDirection w:val="lrTb"/>
            <w:noWrap w:val="false"/>
          </w:tcPr>
          <w:p>
            <w:pPr>
              <w:pStyle w:val="1049"/>
              <w:ind w:firstLine="0"/>
              <w:spacing w:before="0" w:line="240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При осуществлении закупки товара,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если Правительством РФ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установлено </w:t>
            </w:r>
            <w:hyperlink r:id="rId15" w:tooltip="https://login.consultant.ru/link/?req=doc&amp;base=LAW&amp;n=494318&amp;dst=100007" w:history="1">
              <w:r>
                <w:rPr>
                  <w:rFonts w:eastAsia="Times New Roman"/>
                  <w:sz w:val="20"/>
                  <w:szCs w:val="20"/>
                  <w:lang w:eastAsia="ru-RU"/>
                </w:rPr>
                <w:t xml:space="preserve">ограничение</w:t>
              </w:r>
            </w:hyperlink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закупок товаров, происходящих из иностранных государств (по перечню </w:t>
            </w:r>
            <w:r>
              <w:rPr>
                <w:rFonts w:eastAsia="Times New Roman"/>
                <w:sz w:val="20"/>
                <w:szCs w:val="20"/>
                <w:shd w:val="clear" w:color="auto" w:fill="ffffff"/>
              </w:rPr>
              <w:t xml:space="preserve">согласно приложению N 2 ПП РФ № 1875)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,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1049"/>
              <w:ind w:firstLine="0"/>
              <w:spacing w:before="0" w:line="240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не допускаются: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1049"/>
              <w:ind w:firstLine="0"/>
              <w:spacing w:before="0" w:line="240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е предложение, признанные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конкурентной закупки) и содержащие предложения о поставке товара российского происхождения,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1049"/>
              <w:ind w:firstLine="0"/>
              <w:spacing w:before="0" w:line="240" w:lineRule="auto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  <w:highlight w:val="none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, по перечню согласно приложению N 2 ПП РФ № 1875.</w:t>
            </w:r>
            <w:r>
              <w:rPr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sz w:val="20"/>
                <w:szCs w:val="20"/>
                <w:highlight w:val="none"/>
                <w:shd w:val="clear" w:color="auto" w:fill="ffffff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none"/>
                <w:shd w:val="clear" w:color="auto" w:fill="ffffff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8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  <w:t xml:space="preserve">Поставляемая продукция должна быть </w:t>
            </w:r>
            <w:r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  <w:t xml:space="preserve"> подтверждена</w:t>
            </w:r>
            <w:r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  <w:t xml:space="preserve">документами и информаци</w:t>
            </w:r>
            <w:r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  <w:t xml:space="preserve">ей</w:t>
            </w:r>
            <w:r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  <w:t xml:space="preserve">, подтверждающие страну происхождения товара</w:t>
            </w:r>
            <w:r>
              <w:rPr>
                <w:rFonts w:eastAsiaTheme="minorHAnsi"/>
                <w:iCs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>
              <w:rPr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в соответствии с требованиями Постановления Правительства Российско</w:t>
            </w:r>
            <w:r>
              <w:rPr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й Федерации от 23 декабря 2024 г. N 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лиц”.</w:t>
            </w:r>
            <w:r>
              <w:rPr>
                <w:iCs/>
                <w:color w:val="000000" w:themeColor="text1"/>
                <w:sz w:val="24"/>
                <w:szCs w:val="24"/>
                <w:shd w:val="clear" w:color="auto" w:fill="ffffff"/>
              </w:rPr>
            </w:r>
            <w:r>
              <w:rPr>
                <w:iCs/>
                <w:color w:val="000000" w:themeColor="text1"/>
                <w:sz w:val="24"/>
                <w:szCs w:val="24"/>
                <w:shd w:val="clear" w:color="auto" w:fill="ffffff"/>
              </w:rPr>
            </w:r>
          </w:p>
          <w:p>
            <w:pPr>
              <w:widowControl w:val="off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vMerge w:val="restart"/>
            <w:textDirection w:val="lrTb"/>
            <w:noWrap w:val="false"/>
          </w:tcPr>
          <w:p>
            <w:pPr>
              <w:jc w:val="left"/>
              <w:widowControl w:val="off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left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9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 w:eastAsiaTheme="minorHAnsi"/>
                <w:bCs w:val="0"/>
                <w:i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4"/>
                <w:szCs w:val="24"/>
                <w:lang w:eastAsia="en-US"/>
              </w:rPr>
              <w:t xml:space="preserve">-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4"/>
                <w:szCs w:val="24"/>
                <w:lang w:eastAsia="en-US"/>
              </w:rPr>
              <w:t xml:space="preserve">Участник должен предоставить в составе заявки Коммерческое предложение по форме, установленной документацией о закупке, с указанием в отношении поставляемой продукции информации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4"/>
                <w:szCs w:val="24"/>
                <w:lang w:val="ru-RU" w:eastAsia="en-US"/>
              </w:rPr>
              <w:t xml:space="preserve">: о наименовании реестра(реестров),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4"/>
                <w:szCs w:val="24"/>
                <w:lang w:eastAsia="en-US"/>
              </w:rPr>
              <w:t xml:space="preserve"> о номере (номерах) реестровой записи (реестровых записей) соответствующих реестров.</w:t>
            </w:r>
            <w:r>
              <w:rPr>
                <w:rFonts w:ascii="Times New Roman" w:hAnsi="Times New Roman" w:cs="Times New Roman" w:eastAsiaTheme="minorHAnsi"/>
                <w:bCs w:val="0"/>
                <w:i w:val="0"/>
                <w:color w:val="auto"/>
                <w:sz w:val="24"/>
                <w:szCs w:val="24"/>
                <w:highlight w:val="none"/>
                <w:lang w:eastAsia="en-US"/>
              </w:rPr>
            </w:r>
            <w:r>
              <w:rPr>
                <w:rFonts w:ascii="Times New Roman" w:hAnsi="Times New Roman" w:cs="Times New Roman" w:eastAsiaTheme="minorHAnsi"/>
                <w:bCs w:val="0"/>
                <w:i w:val="0"/>
                <w:color w:val="auto"/>
                <w:sz w:val="24"/>
                <w:szCs w:val="24"/>
                <w:highlight w:val="none"/>
                <w:lang w:eastAsia="en-US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6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4.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41" w:type="dxa"/>
            <w:textDirection w:val="lrTb"/>
            <w:noWrap w:val="false"/>
          </w:tcPr>
          <w:p>
            <w:pPr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</w:rPr>
              <w:t xml:space="preserve">Требования к гарантиям, гарантийному и послегарантийному обслуживанию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56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left"/>
              <w:spacing w:before="60" w:after="60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  <w:t xml:space="preserve">4.1.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41" w:type="dxa"/>
            <w:vMerge w:val="restart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  <w:t xml:space="preserve">Гарантийный срок на продукцию по позиции 4 Таблицы 1.1 – согласно гарантий завода-производителя, но не менее 12 (двенадцать) календарных месяцев с даты подписания Покупателем (грузополучателем) УПД.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5.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41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Требования к доставке, маркировке, упаковке, транспортировке, перемещению, условиям хранения, приемке и испытаниям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5.1.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textDirection w:val="lrTb"/>
            <w:noWrap w:val="false"/>
          </w:tcPr>
          <w:p>
            <w:pPr>
              <w:jc w:val="both"/>
              <w:spacing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Место поставки, отгрузочные реквизиты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8" w:type="dxa"/>
            <w:textDirection w:val="lrTb"/>
            <w:noWrap w:val="false"/>
          </w:tcPr>
          <w:p>
            <w:pPr>
              <w:ind w:left="72"/>
              <w:jc w:val="center"/>
              <w:rPr>
                <w:rFonts w:ascii="Times New Roman" w:hAnsi="Times New Roman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АО "ДГК" СП "Партизанская ГРЭС", 692860, Приморский край, г. Партизанск, ул. Свердлова, д.2 </w:t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ИНН/КПП 1434031363/250932001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9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14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left"/>
              <w:spacing w:before="60"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5.2.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contextualSpacing/>
              <w:jc w:val="left"/>
              <w:spacing w:before="60" w:after="60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41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Оборудование должно быть новым, изготовленным не ранее 2025 года, не находившимся в эксплуатации,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без повреждений, следов воздействия влаги и следов вскрытия. 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Продукция должна быть поставлена в упаковке производителя, не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рушенной, обеспечивающей сохранность от всякого рода повреждений при перевозке любыми видами транспорта, а также предохраняющей поставляемую продукцию от внешних воздействий. Маркировка упаковки должна соответствовать ГОСТ 25880-83.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2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left"/>
              <w:spacing w:before="60" w:after="60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6.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41" w:type="dxa"/>
            <w:vAlign w:val="center"/>
            <w:vMerge w:val="restart"/>
            <w:textDirection w:val="lrTb"/>
            <w:noWrap w:val="false"/>
          </w:tcPr>
          <w:p>
            <w:pPr>
              <w:ind w:left="0" w:firstLine="0"/>
              <w:jc w:val="both"/>
              <w:spacing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Требования к участнику закупки, признанным победителем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ind w:left="0" w:firstLine="0"/>
              <w:jc w:val="both"/>
              <w:spacing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9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Участник, признанный победителем закупочной процедуры, в течение 10 рабочих дней с даты официального размещения Организатором итогового протокола по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резу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льтатам закупки (до заключения договора) на адрес электронной почты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nekhoroshikh-na@dgk.ru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 должен предоставить: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ind w:left="0" w:firstLine="0"/>
              <w:jc w:val="both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- Регистрационные номера сертификата или декларации о соответствии или копию сертификата или декларации о соответствии на предлагаемую продукцию;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ind w:left="0" w:firstLine="0"/>
              <w:jc w:val="both"/>
              <w:spacing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- Технический паспорт на насос, либо ранее изготовленный аналогичный насос;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ind w:left="0" w:firstLine="0"/>
              <w:jc w:val="both"/>
              <w:spacing w:after="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  <w:t xml:space="preserve">- Технический паспорт на двигатель, либо ранее изготовленный аналогичный электродвигатель.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3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highlight w:val="none"/>
        </w:rPr>
      </w:r>
    </w:p>
    <w:p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</w:rPr>
        <w:t xml:space="preserve">1) </w:t>
      </w: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highlight w:val="none"/>
        </w:rPr>
        <w:t xml:space="preserve">В случае если какой-либо из указа</w:t>
      </w: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highlight w:val="none"/>
        </w:rPr>
        <w:t xml:space="preserve">нных в настоящих Технических требованиях ГОСТ или нормативный документ был заменен/отменен в процессе проведения закупки в связи с выпуском новой редакции стандарта, то Участнику необходимо применять ГОСТ или нормативный документ, принятый в его развитие.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</w:p>
    <w:p>
      <w:pPr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highlight w:val="none"/>
        </w:rPr>
        <w:t xml:space="preserve">2) В составе заявки необходимо представить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none"/>
        </w:rPr>
        <w:t xml:space="preserve">документы и информацию</w:t>
      </w: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highlight w:val="none"/>
        </w:rPr>
        <w:t xml:space="preserve">, подтверждающие страну происхождения товара в соответствии с требованиями Постановления Правительства Российской Федерации от 23 декабря 2024 </w:t>
      </w: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highlight w:val="none"/>
        </w:rPr>
        <w:t xml:space="preserve">г. N 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 (далее - Постановление № 1875) </w:t>
      </w: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highlight w:val="none"/>
        </w:rPr>
        <w:t xml:space="preserve">."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highlight w:val="none"/>
        </w:rPr>
      </w:r>
    </w:p>
    <w:p>
      <w:pPr>
        <w:jc w:val="both"/>
        <w:rPr>
          <w:rFonts w:ascii="Times New Roman" w:hAnsi="Times New Roman" w:cs="Times New Roman"/>
          <w:color w:val="000000" w:themeColor="text1"/>
          <w:highlight w:val="none"/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highlight w:val="none"/>
        </w:rPr>
        <w:t xml:space="preserve">3) В случае указания в настоящем ТТ ссылки на ТУ, марку (тип) продукции носят описательный, а не обязательный характер. Если Участником предлагается эквивалентная продукция тр</w:t>
      </w: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highlight w:val="none"/>
        </w:rPr>
        <w:t xml:space="preserve">ебуемой Заказчику продукции или ее составных частей, он должен в обязательном порядке в составе своего предложения предоставить подробное техническое описание предлагаемого к поставке эквивалента, в объеме не менее установленных в настоящем ТТ требований. </w:t>
      </w:r>
      <w:r>
        <w:rPr>
          <w:rFonts w:ascii="Times New Roman" w:hAnsi="Times New Roman" w:cs="Times New Roman"/>
          <w:color w:val="000000" w:themeColor="text1"/>
          <w:highlight w:val="none"/>
        </w:rPr>
      </w:r>
      <w:r>
        <w:rPr>
          <w:rFonts w:ascii="Times New Roman" w:hAnsi="Times New Roman" w:cs="Times New Roman"/>
          <w:color w:val="000000" w:themeColor="text1"/>
          <w:highlight w:val="none"/>
        </w:rPr>
      </w:r>
    </w:p>
    <w:p>
      <w:pPr>
        <w:pStyle w:val="758"/>
        <w:ind w:left="0" w:firstLine="0"/>
        <w:jc w:val="both"/>
        <w:tabs>
          <w:tab w:val="left" w:pos="284" w:leader="none"/>
        </w:tabs>
        <w:rPr>
          <w:rFonts w:ascii="Times New Roman" w:hAnsi="Times New Roman" w:cs="Times New Roman"/>
          <w:b w:val="0"/>
          <w:color w:val="000000" w:themeColor="text1"/>
          <w:highlight w:val="none"/>
        </w:rPr>
        <w:sectPr>
          <w:footnotePr/>
          <w:endnotePr/>
          <w:type w:val="nextPage"/>
          <w:pgSz w:w="16838" w:h="11906" w:orient="landscape"/>
          <w:pgMar w:top="851" w:right="567" w:bottom="851" w:left="992" w:header="709" w:footer="709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b w:val="0"/>
          <w:color w:val="000000" w:themeColor="text1"/>
          <w:highlight w:val="none"/>
        </w:rPr>
        <w:t xml:space="preserve">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эксплуатации.</w:t>
      </w:r>
      <w:r>
        <w:rPr>
          <w:rFonts w:ascii="Times New Roman" w:hAnsi="Times New Roman" w:eastAsia="Times New Roman" w:cs="Times New Roman"/>
          <w:color w:val="000000" w:themeColor="text1"/>
          <w:highlight w:val="none"/>
        </w:rPr>
        <w:br w:type="page" w:clear="all"/>
      </w:r>
      <w:r>
        <w:rPr>
          <w:rFonts w:ascii="Times New Roman" w:hAnsi="Times New Roman" w:cs="Times New Roman"/>
          <w:b w:val="0"/>
          <w:color w:val="000000" w:themeColor="text1"/>
          <w:highlight w:val="none"/>
        </w:rPr>
      </w:r>
      <w:r>
        <w:rPr>
          <w:rFonts w:ascii="Times New Roman" w:hAnsi="Times New Roman" w:cs="Times New Roman"/>
          <w:b w:val="0"/>
          <w:color w:val="000000" w:themeColor="text1"/>
          <w:highlight w:val="none"/>
        </w:rPr>
      </w:r>
    </w:p>
    <w:p>
      <w:pPr>
        <w:pStyle w:val="755"/>
        <w:ind w:left="357" w:hanging="357"/>
        <w:jc w:val="center"/>
        <w:keepLines/>
        <w:rPr>
          <w:rFonts w:cs="Times New Roman"/>
        </w:rPr>
      </w:pPr>
      <w:r/>
      <w:bookmarkStart w:id="0" w:name="undefined"/>
      <w:r/>
      <w:bookmarkStart w:id="0" w:name="undefined"/>
      <w:r>
        <w:rPr>
          <w:rFonts w:cs="Times New Roman" w:eastAsiaTheme="minorEastAsia"/>
        </w:rPr>
        <w:t xml:space="preserve">Требования к документации по ценообразованию</w:t>
      </w:r>
      <w:bookmarkEnd w:id="0"/>
      <w:r>
        <w:rPr>
          <w:rFonts w:cs="Times New Roman" w:eastAsiaTheme="minorEastAsia"/>
        </w:rPr>
        <w:t xml:space="preserve"> на этапе закупки</w:t>
      </w:r>
      <w:r>
        <w:rPr>
          <w:rFonts w:cs="Times New Roman"/>
        </w:rPr>
      </w:r>
      <w:r>
        <w:rPr>
          <w:rFonts w:cs="Times New Roman"/>
        </w:rPr>
      </w:r>
    </w:p>
    <w:p>
      <w:pPr>
        <w:jc w:val="both"/>
      </w:pPr>
      <w:r/>
      <w:r/>
    </w:p>
    <w:p>
      <w:pPr>
        <w:pStyle w:val="1009"/>
        <w:numPr>
          <w:ilvl w:val="0"/>
          <w:numId w:val="3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обоснование стоимости своей заявки Участник п</w:t>
      </w:r>
      <w:r>
        <w:rPr>
          <w:sz w:val="28"/>
          <w:szCs w:val="28"/>
        </w:rPr>
        <w:t xml:space="preserve">редоставляет Коммерческое предложение по форме (с учетом прилагаемой к ней инструкции по заполнению).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09"/>
        <w:numPr>
          <w:ilvl w:val="0"/>
          <w:numId w:val="3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Вместе с Коммерческим предложением Участник должен предоставить в составе заявки спецификацию поставляемого оборудования по форме, приведенной </w:t>
      </w:r>
      <w:r>
        <w:rPr>
          <w:sz w:val="28"/>
          <w:szCs w:val="28"/>
        </w:rPr>
        <w:t xml:space="preserve">в Приложении № 2 к настоящим Техническим требованиям (в случае закупки оборудования (материалов) комплектом в спецификации необходимо разбить его на позиции с указанием полного наименования (тип, марка, артикул) каждой составляющей и стоимости за единицу).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firstLine="0"/>
        <w:jc w:val="both"/>
        <w:rPr>
          <w:highlight w:val="none"/>
        </w:rPr>
      </w:pPr>
      <w:r>
        <w:rPr>
          <w:sz w:val="28"/>
          <w:szCs w:val="28"/>
          <w:highlight w:val="none"/>
        </w:rPr>
        <w:t xml:space="preserve">     </w:t>
      </w:r>
      <w:r>
        <w:rPr>
          <w:sz w:val="28"/>
          <w:szCs w:val="28"/>
          <w:highlight w:val="none"/>
        </w:rPr>
        <w:t xml:space="preserve">   </w:t>
      </w:r>
      <w:r>
        <w:rPr>
          <w:b/>
          <w:bCs/>
          <w:sz w:val="28"/>
          <w:szCs w:val="28"/>
          <w:highlight w:val="none"/>
        </w:rPr>
        <w:t xml:space="preserve">4. Приложения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0"/>
        <w:jc w:val="both"/>
        <w:rPr>
          <w:sz w:val="28"/>
          <w:szCs w:val="28"/>
          <w:highlight w:val="none"/>
        </w:rPr>
      </w:pPr>
      <w:r>
        <w:rPr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1009"/>
        <w:numPr>
          <w:ilvl w:val="0"/>
          <w:numId w:val="37"/>
        </w:numPr>
        <w:jc w:val="both"/>
        <w:rPr>
          <w:b w:val="0"/>
          <w:bCs w:val="0"/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  <w:highlight w:val="none"/>
        </w:rPr>
        <w:t xml:space="preserve">Структура НМЦ</w:t>
      </w: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</w:r>
    </w:p>
    <w:p>
      <w:r/>
      <w:r/>
    </w:p>
    <w:p>
      <w:r/>
      <w:r/>
    </w:p>
    <w:sectPr>
      <w:headerReference w:type="default" r:id="rId9"/>
      <w:headerReference w:type="first" r:id="rId10"/>
      <w:footnotePr>
        <w:numRestart w:val="eachPage"/>
      </w:footnotePr>
      <w:endnotePr/>
      <w:type w:val="nextPage"/>
      <w:pgSz w:w="11906" w:h="16838" w:orient="portrait"/>
      <w:pgMar w:top="1134" w:right="851" w:bottom="992" w:left="1134" w:header="680" w:footer="0" w:gutter="0"/>
      <w:cols w:num="1" w:sep="0" w:space="720" w:equalWidth="1"/>
      <w:docGrid w:linePitch="36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nekhoroshikh_na@DGK.RU" w:date="2026-04-28T14:15:08Z" w:initials="n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Шефмонтаж и шеф-наладка будут включены в договор?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5C47B066" w16cex:dateUtc="2026-04-28T04:15:08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5C47B06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409020205020404"/>
  </w:font>
  <w:font w:name="Symbol">
    <w:panose1 w:val="05010000000000000000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503050406030204"/>
  </w:font>
  <w:font w:name="Batang">
    <w:panose1 w:val="02000506000000020000"/>
  </w:font>
  <w:font w:name="Calibri">
    <w:panose1 w:val="020F0502020204030204"/>
  </w:font>
  <w:font w:name="Wingdings">
    <w:panose1 w:val="05010000000000000000"/>
  </w:font>
  <w:font w:name="Liberation Sans">
    <w:panose1 w:val="020B0604020202020204"/>
  </w:font>
  <w:font w:name="Noto Serif CJK SC">
    <w:panose1 w:val="02020400000000000000"/>
  </w:font>
  <w:font w:name="Arial">
    <w:panose1 w:val="020B0604020202020204"/>
  </w:font>
  <w:font w:name="Arial Unicode MS">
    <w:panose1 w:val="020B060402020202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rPr>
          <w:sz w:val="12"/>
        </w:rPr>
      </w:pPr>
      <w:r>
        <w:separator/>
      </w:r>
      <w:r>
        <w:rPr>
          <w:sz w:val="12"/>
        </w:rPr>
      </w:r>
      <w:r>
        <w:rPr>
          <w:sz w:val="12"/>
        </w:rPr>
      </w:r>
    </w:p>
  </w:footnote>
  <w:footnote w:type="continuationSeparator" w:id="0">
    <w:p>
      <w:pPr>
        <w:rPr>
          <w:sz w:val="12"/>
        </w:rPr>
      </w:pPr>
      <w:r>
        <w:continuationSeparator/>
      </w:r>
      <w:r>
        <w:rPr>
          <w:sz w:val="12"/>
        </w:rPr>
      </w:r>
      <w:r>
        <w:rPr>
          <w:sz w:val="12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2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44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</w:lvl>
    <w:lvl w:ilvl="3">
      <w:start w:val="1"/>
      <w:numFmt w:val="russianLower"/>
      <w:pStyle w:val="1026"/>
      <w:isLgl w:val="false"/>
      <w:suff w:val="tab"/>
      <w:lvlText w:val="(%4)"/>
      <w:lvlJc w:val="left"/>
      <w:pPr>
        <w:ind w:left="1985" w:hanging="567"/>
        <w:tabs>
          <w:tab w:val="num" w:pos="0" w:leader="none"/>
        </w:tabs>
      </w:pPr>
    </w:lvl>
    <w:lvl w:ilvl="4">
      <w:start w:val="1"/>
      <w:numFmt w:val="bullet"/>
      <w:pStyle w:val="1027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pStyle w:val="1030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  <w:lvl w:ilvl="6">
      <w:start w:val="1"/>
      <w:numFmt w:val="none"/>
      <w:pStyle w:val="1028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</w:lvl>
    <w:lvl w:ilvl="7">
      <w:start w:val="1"/>
      <w:numFmt w:val="none"/>
      <w:pStyle w:val="1029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  <w:tabs>
          <w:tab w:val="num" w:pos="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  <w:rPr>
        <w:b w:val="0"/>
        <w:strike w:val="0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6">
    <w:multiLevelType w:val="hybridMultilevel"/>
    <w:lvl w:ilvl="0">
      <w:start w:val="4"/>
      <w:numFmt w:val="bullet"/>
      <w:pStyle w:val="1016"/>
      <w:isLgl w:val="false"/>
      <w:suff w:val="tab"/>
      <w:lvlText w:val="-"/>
      <w:lvlJc w:val="left"/>
      <w:pPr>
        <w:ind w:left="-207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pStyle w:val="1017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pStyle w:val="1015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9">
    <w:multiLevelType w:val="hybridMultilevel"/>
    <w:lvl w:ilvl="0">
      <w:start w:val="1"/>
      <w:numFmt w:val="decimal"/>
      <w:pStyle w:val="974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pStyle w:val="975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</w:lvl>
  </w:abstractNum>
  <w:abstractNum w:abstractNumId="1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  <w:tabs>
          <w:tab w:val="num" w:pos="0" w:leader="none"/>
        </w:tabs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  <w:rPr>
        <w:b w:val="0"/>
        <w:strike w:val="0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0" w:leader="none"/>
        </w:tabs>
      </w:pPr>
      <w:rPr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16">
    <w:multiLevelType w:val="hybridMultilevel"/>
    <w:lvl w:ilvl="0">
      <w:start w:val="1"/>
      <w:numFmt w:val="decimal"/>
      <w:pStyle w:val="755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757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360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9">
    <w:multiLevelType w:val="hybridMultilevel"/>
    <w:lvl w:ilvl="0">
      <w:start w:val="1"/>
      <w:numFmt w:val="decimal"/>
      <w:pStyle w:val="1033"/>
      <w:isLgl w:val="false"/>
      <w:suff w:val="tab"/>
      <w:lvlText w:val="1.%1"/>
      <w:lvlJc w:val="left"/>
      <w:pPr>
        <w:ind w:left="142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  <w:tabs>
          <w:tab w:val="num" w:pos="0" w:leader="none"/>
        </w:tabs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360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360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360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  <w:tabs>
          <w:tab w:val="num" w:pos="0" w:leader="none"/>
        </w:tabs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9"/>
  </w:num>
  <w:num w:numId="2">
    <w:abstractNumId w:val="6"/>
  </w:num>
  <w:num w:numId="3">
    <w:abstractNumId w:val="16"/>
  </w:num>
  <w:num w:numId="4">
    <w:abstractNumId w:val="0"/>
  </w:num>
  <w:num w:numId="5">
    <w:abstractNumId w:val="19"/>
  </w:num>
  <w:num w:numId="6">
    <w:abstractNumId w:val="17"/>
  </w:num>
  <w:num w:numId="7">
    <w:abstractNumId w:val="8"/>
  </w:num>
  <w:num w:numId="8">
    <w:abstractNumId w:val="11"/>
  </w:num>
  <w:num w:numId="9">
    <w:abstractNumId w:val="2"/>
  </w:num>
  <w:num w:numId="10">
    <w:abstractNumId w:val="12"/>
  </w:num>
  <w:num w:numId="11">
    <w:abstractNumId w:val="18"/>
  </w:num>
  <w:num w:numId="12">
    <w:abstractNumId w:val="20"/>
  </w:num>
  <w:num w:numId="13">
    <w:abstractNumId w:val="13"/>
  </w:num>
  <w:num w:numId="14">
    <w:abstractNumId w:val="4"/>
  </w:num>
  <w:num w:numId="15">
    <w:abstractNumId w:val="1"/>
  </w:num>
  <w:num w:numId="16">
    <w:abstractNumId w:val="3"/>
  </w:num>
  <w:num w:numId="17">
    <w:abstractNumId w:val="15"/>
  </w:num>
  <w:num w:numId="18">
    <w:abstractNumId w:val="7"/>
  </w:num>
  <w:num w:numId="19">
    <w:abstractNumId w:val="5"/>
  </w:num>
  <w:num w:numId="20">
    <w:abstractNumId w:val="14"/>
  </w:num>
  <w:num w:numId="21">
    <w:abstractNumId w:val="10"/>
  </w:num>
  <w:num w:numId="22">
    <w:abstractNumId w:val="14"/>
    <w:lvlOverride w:ilvl="0">
      <w:startOverride w:val="1"/>
    </w:lvlOverride>
  </w:num>
  <w:num w:numId="23">
    <w:abstractNumId w:val="14"/>
  </w:num>
  <w:num w:numId="24">
    <w:abstractNumId w:val="14"/>
  </w:num>
  <w:num w:numId="25">
    <w:abstractNumId w:val="21"/>
  </w:num>
  <w:num w:numId="26">
    <w:abstractNumId w:val="22"/>
  </w:num>
  <w:num w:numId="27">
    <w:abstractNumId w:val="23"/>
  </w:num>
  <w:num w:numId="28">
    <w:abstractNumId w:val="24"/>
  </w:num>
  <w:num w:numId="29">
    <w:abstractNumId w:val="25"/>
  </w:num>
  <w:num w:numId="30">
    <w:abstractNumId w:val="26"/>
  </w:num>
  <w:num w:numId="31">
    <w:abstractNumId w:val="27"/>
  </w:num>
  <w:num w:numId="32">
    <w:abstractNumId w:val="28"/>
  </w:num>
  <w:num w:numId="33">
    <w:abstractNumId w:val="29"/>
  </w:num>
  <w:num w:numId="34">
    <w:abstractNumId w:val="30"/>
  </w:num>
  <w:num w:numId="35">
    <w:abstractNumId w:val="31"/>
  </w:num>
  <w:num w:numId="36">
    <w:abstractNumId w:val="32"/>
  </w:num>
  <w:num w:numId="37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ekhoroshikh_na@DGK.RU">
    <w15:presenceInfo w15:providerId="Teamlab" w15:userId="nekhoroshikh_na@DGK.R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Noto Serif CJK SC" w:cs="Arial Unicode MS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4" w:default="1">
    <w:name w:val="Normal"/>
    <w:qFormat/>
    <w:rPr>
      <w:sz w:val="28"/>
      <w:szCs w:val="28"/>
    </w:rPr>
  </w:style>
  <w:style w:type="paragraph" w:styleId="755">
    <w:name w:val="Heading 1"/>
    <w:basedOn w:val="757"/>
    <w:qFormat/>
    <w:pPr>
      <w:numPr>
        <w:ilvl w:val="0"/>
      </w:numPr>
      <w:outlineLvl w:val="0"/>
    </w:pPr>
    <w:rPr>
      <w:sz w:val="28"/>
      <w:szCs w:val="28"/>
    </w:rPr>
  </w:style>
  <w:style w:type="paragraph" w:styleId="756">
    <w:name w:val="Heading 2"/>
    <w:basedOn w:val="758"/>
    <w:qFormat/>
    <w:pPr>
      <w:outlineLvl w:val="1"/>
    </w:pPr>
  </w:style>
  <w:style w:type="paragraph" w:styleId="757">
    <w:name w:val="Heading 3"/>
    <w:basedOn w:val="754"/>
    <w:qFormat/>
    <w:pPr>
      <w:numPr>
        <w:ilvl w:val="2"/>
        <w:numId w:val="3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758">
    <w:name w:val="Heading 4"/>
    <w:basedOn w:val="757"/>
    <w:qFormat/>
    <w:pPr>
      <w:numPr>
        <w:ilvl w:val="0"/>
        <w:numId w:val="0"/>
      </w:numPr>
      <w:ind w:left="432" w:hanging="432"/>
      <w:tabs>
        <w:tab w:val="left" w:pos="0" w:leader="none"/>
      </w:tabs>
      <w:outlineLvl w:val="3"/>
    </w:pPr>
    <w:rPr>
      <w:bCs/>
    </w:rPr>
  </w:style>
  <w:style w:type="paragraph" w:styleId="759">
    <w:name w:val="Heading 5"/>
    <w:basedOn w:val="754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60">
    <w:name w:val="Heading 6"/>
    <w:basedOn w:val="754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61">
    <w:name w:val="Heading 7"/>
    <w:basedOn w:val="754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762">
    <w:name w:val="Heading 8"/>
    <w:basedOn w:val="754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763">
    <w:name w:val="Heading 9"/>
    <w:basedOn w:val="754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764" w:default="1">
    <w:name w:val="Default Paragraph Font"/>
    <w:uiPriority w:val="1"/>
    <w:semiHidden/>
    <w:unhideWhenUsed/>
  </w:style>
  <w:style w:type="table" w:styleId="76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66" w:default="1">
    <w:name w:val="No List"/>
    <w:uiPriority w:val="99"/>
    <w:semiHidden/>
    <w:unhideWhenUsed/>
  </w:style>
  <w:style w:type="table" w:styleId="767">
    <w:name w:val="Table Grid"/>
    <w:basedOn w:val="76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68" w:customStyle="1">
    <w:name w:val="Table Grid Light"/>
    <w:basedOn w:val="76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69">
    <w:name w:val="Plain Table 1"/>
    <w:basedOn w:val="76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0">
    <w:name w:val="Plain Table 2"/>
    <w:basedOn w:val="765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1">
    <w:name w:val="Plain Table 3"/>
    <w:basedOn w:val="76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2">
    <w:name w:val="Plain Table 4"/>
    <w:basedOn w:val="76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Plain Table 5"/>
    <w:basedOn w:val="76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4">
    <w:name w:val="Grid Table 1 Light"/>
    <w:basedOn w:val="765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Grid Table 1 Light - Accent 1"/>
    <w:basedOn w:val="765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Grid Table 1 Light - Accent 2"/>
    <w:basedOn w:val="765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Grid Table 1 Light - Accent 3"/>
    <w:basedOn w:val="765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Grid Table 1 Light - Accent 4"/>
    <w:basedOn w:val="765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Grid Table 1 Light - Accent 5"/>
    <w:basedOn w:val="765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Grid Table 1 Light - Accent 6"/>
    <w:basedOn w:val="765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2"/>
    <w:basedOn w:val="76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2 - Accent 1"/>
    <w:basedOn w:val="765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2 - Accent 2"/>
    <w:basedOn w:val="765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2 - Accent 3"/>
    <w:basedOn w:val="765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2 - Accent 4"/>
    <w:basedOn w:val="765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2 - Accent 5"/>
    <w:basedOn w:val="765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2 - Accent 6"/>
    <w:basedOn w:val="765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"/>
    <w:basedOn w:val="76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3 - Accent 1"/>
    <w:basedOn w:val="765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3 - Accent 2"/>
    <w:basedOn w:val="765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3 - Accent 3"/>
    <w:basedOn w:val="765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3 - Accent 4"/>
    <w:basedOn w:val="765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3 - Accent 5"/>
    <w:basedOn w:val="765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3 - Accent 6"/>
    <w:basedOn w:val="765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4"/>
    <w:basedOn w:val="765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6" w:customStyle="1">
    <w:name w:val="Grid Table 4 - Accent 1"/>
    <w:basedOn w:val="765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797" w:customStyle="1">
    <w:name w:val="Grid Table 4 - Accent 2"/>
    <w:basedOn w:val="765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98" w:customStyle="1">
    <w:name w:val="Grid Table 4 - Accent 3"/>
    <w:basedOn w:val="765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99" w:customStyle="1">
    <w:name w:val="Grid Table 4 - Accent 4"/>
    <w:basedOn w:val="765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00" w:customStyle="1">
    <w:name w:val="Grid Table 4 - Accent 5"/>
    <w:basedOn w:val="765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01" w:customStyle="1">
    <w:name w:val="Grid Table 4 - Accent 6"/>
    <w:basedOn w:val="765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02">
    <w:name w:val="Grid Table 5 Dark"/>
    <w:basedOn w:val="76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3" w:customStyle="1">
    <w:name w:val="Grid Table 5 Dark- Accent 1"/>
    <w:basedOn w:val="76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804" w:customStyle="1">
    <w:name w:val="Grid Table 5 Dark - Accent 2"/>
    <w:basedOn w:val="76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05" w:customStyle="1">
    <w:name w:val="Grid Table 5 Dark - Accent 3"/>
    <w:basedOn w:val="76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06" w:customStyle="1">
    <w:name w:val="Grid Table 5 Dark- Accent 4"/>
    <w:basedOn w:val="76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07" w:customStyle="1">
    <w:name w:val="Grid Table 5 Dark - Accent 5"/>
    <w:basedOn w:val="76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808" w:customStyle="1">
    <w:name w:val="Grid Table 5 Dark - Accent 6"/>
    <w:basedOn w:val="76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09">
    <w:name w:val="Grid Table 6 Colorful"/>
    <w:basedOn w:val="765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0" w:customStyle="1">
    <w:name w:val="Grid Table 6 Colorful - Accent 1"/>
    <w:basedOn w:val="765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11" w:customStyle="1">
    <w:name w:val="Grid Table 6 Colorful - Accent 2"/>
    <w:basedOn w:val="765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12" w:customStyle="1">
    <w:name w:val="Grid Table 6 Colorful - Accent 3"/>
    <w:basedOn w:val="765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13" w:customStyle="1">
    <w:name w:val="Grid Table 6 Colorful - Accent 4"/>
    <w:basedOn w:val="765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14" w:customStyle="1">
    <w:name w:val="Grid Table 6 Colorful - Accent 5"/>
    <w:basedOn w:val="765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15" w:customStyle="1">
    <w:name w:val="Grid Table 6 Colorful - Accent 6"/>
    <w:basedOn w:val="765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16">
    <w:name w:val="Grid Table 7 Colorful"/>
    <w:basedOn w:val="765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7" w:customStyle="1">
    <w:name w:val="Grid Table 7 Colorful - Accent 1"/>
    <w:basedOn w:val="765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0B7E1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8" w:customStyle="1">
    <w:name w:val="Grid Table 7 Colorful - Accent 2"/>
    <w:basedOn w:val="765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9" w:customStyle="1">
    <w:name w:val="Grid Table 7 Colorful - Accent 3"/>
    <w:basedOn w:val="765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0" w:customStyle="1">
    <w:name w:val="Grid Table 7 Colorful - Accent 4"/>
    <w:basedOn w:val="765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1" w:customStyle="1">
    <w:name w:val="Grid Table 7 Colorful - Accent 5"/>
    <w:basedOn w:val="765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A2C6E7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2" w:customStyle="1">
    <w:name w:val="Grid Table 7 Colorful - Accent 6"/>
    <w:basedOn w:val="765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3">
    <w:name w:val="List Table 1 Light"/>
    <w:basedOn w:val="765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1 Light - Accent 1"/>
    <w:basedOn w:val="765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1 Light - Accent 2"/>
    <w:basedOn w:val="765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1 Light - Accent 3"/>
    <w:basedOn w:val="765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1 Light - Accent 4"/>
    <w:basedOn w:val="765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1 Light - Accent 5"/>
    <w:basedOn w:val="765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1 Light - Accent 6"/>
    <w:basedOn w:val="765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2"/>
    <w:basedOn w:val="765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1" w:customStyle="1">
    <w:name w:val="List Table 2 - Accent 1"/>
    <w:basedOn w:val="765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832" w:customStyle="1">
    <w:name w:val="List Table 2 - Accent 2"/>
    <w:basedOn w:val="765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33" w:customStyle="1">
    <w:name w:val="List Table 2 - Accent 3"/>
    <w:basedOn w:val="765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34" w:customStyle="1">
    <w:name w:val="List Table 2 - Accent 4"/>
    <w:basedOn w:val="765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35" w:customStyle="1">
    <w:name w:val="List Table 2 - Accent 5"/>
    <w:basedOn w:val="765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36" w:customStyle="1">
    <w:name w:val="List Table 2 - Accent 6"/>
    <w:basedOn w:val="765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37">
    <w:name w:val="List Table 3"/>
    <w:basedOn w:val="76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3 - Accent 1"/>
    <w:basedOn w:val="765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3 - Accent 2"/>
    <w:basedOn w:val="765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3 - Accent 3"/>
    <w:basedOn w:val="765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3 - Accent 4"/>
    <w:basedOn w:val="765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3 - Accent 5"/>
    <w:basedOn w:val="765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3 - Accent 6"/>
    <w:basedOn w:val="765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"/>
    <w:basedOn w:val="76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4 - Accent 1"/>
    <w:basedOn w:val="765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4 - Accent 2"/>
    <w:basedOn w:val="765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4 - Accent 3"/>
    <w:basedOn w:val="765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4 - Accent 4"/>
    <w:basedOn w:val="765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4 - Accent 5"/>
    <w:basedOn w:val="765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4 - Accent 6"/>
    <w:basedOn w:val="765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5 Dark"/>
    <w:basedOn w:val="765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2" w:customStyle="1">
    <w:name w:val="List Table 5 Dark - Accent 1"/>
    <w:basedOn w:val="765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3" w:customStyle="1">
    <w:name w:val="List Table 5 Dark - Accent 2"/>
    <w:basedOn w:val="765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4" w:customStyle="1">
    <w:name w:val="List Table 5 Dark - Accent 3"/>
    <w:basedOn w:val="765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 w:customStyle="1">
    <w:name w:val="List Table 5 Dark - Accent 4"/>
    <w:basedOn w:val="765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6" w:customStyle="1">
    <w:name w:val="List Table 5 Dark - Accent 5"/>
    <w:basedOn w:val="765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7" w:customStyle="1">
    <w:name w:val="List Table 5 Dark - Accent 6"/>
    <w:basedOn w:val="765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8">
    <w:name w:val="List Table 6 Colorful"/>
    <w:basedOn w:val="765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9" w:customStyle="1">
    <w:name w:val="List Table 6 Colorful - Accent 1"/>
    <w:basedOn w:val="765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860" w:customStyle="1">
    <w:name w:val="List Table 6 Colorful - Accent 2"/>
    <w:basedOn w:val="765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61" w:customStyle="1">
    <w:name w:val="List Table 6 Colorful - Accent 3"/>
    <w:basedOn w:val="765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62" w:customStyle="1">
    <w:name w:val="List Table 6 Colorful - Accent 4"/>
    <w:basedOn w:val="765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63" w:customStyle="1">
    <w:name w:val="List Table 6 Colorful - Accent 5"/>
    <w:basedOn w:val="765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864" w:customStyle="1">
    <w:name w:val="List Table 6 Colorful - Accent 6"/>
    <w:basedOn w:val="765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65">
    <w:name w:val="List Table 7 Colorful"/>
    <w:basedOn w:val="765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6" w:customStyle="1">
    <w:name w:val="List Table 7 Colorful - Accent 1"/>
    <w:basedOn w:val="765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7" w:customStyle="1">
    <w:name w:val="List Table 7 Colorful - Accent 2"/>
    <w:basedOn w:val="765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8" w:customStyle="1">
    <w:name w:val="List Table 7 Colorful - Accent 3"/>
    <w:basedOn w:val="765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9" w:customStyle="1">
    <w:name w:val="List Table 7 Colorful - Accent 4"/>
    <w:basedOn w:val="765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0" w:customStyle="1">
    <w:name w:val="List Table 7 Colorful - Accent 5"/>
    <w:basedOn w:val="765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BC2E5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1" w:customStyle="1">
    <w:name w:val="List Table 7 Colorful - Accent 6"/>
    <w:basedOn w:val="765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2" w:customStyle="1">
    <w:name w:val="Lined - Accent"/>
    <w:basedOn w:val="76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3" w:customStyle="1">
    <w:name w:val="Lined - Accent 1"/>
    <w:basedOn w:val="76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74" w:customStyle="1">
    <w:name w:val="Lined - Accent 2"/>
    <w:basedOn w:val="76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75" w:customStyle="1">
    <w:name w:val="Lined - Accent 3"/>
    <w:basedOn w:val="76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76" w:customStyle="1">
    <w:name w:val="Lined - Accent 4"/>
    <w:basedOn w:val="76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77" w:customStyle="1">
    <w:name w:val="Lined - Accent 5"/>
    <w:basedOn w:val="76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78" w:customStyle="1">
    <w:name w:val="Lined - Accent 6"/>
    <w:basedOn w:val="76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79" w:customStyle="1">
    <w:name w:val="Bordered &amp; Lined - Accent"/>
    <w:basedOn w:val="765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0" w:customStyle="1">
    <w:name w:val="Bordered &amp; Lined - Accent 1"/>
    <w:basedOn w:val="765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81" w:customStyle="1">
    <w:name w:val="Bordered &amp; Lined - Accent 2"/>
    <w:basedOn w:val="765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82" w:customStyle="1">
    <w:name w:val="Bordered &amp; Lined - Accent 3"/>
    <w:basedOn w:val="765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83" w:customStyle="1">
    <w:name w:val="Bordered &amp; Lined - Accent 4"/>
    <w:basedOn w:val="765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84" w:customStyle="1">
    <w:name w:val="Bordered &amp; Lined - Accent 5"/>
    <w:basedOn w:val="765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85" w:customStyle="1">
    <w:name w:val="Bordered &amp; Lined - Accent 6"/>
    <w:basedOn w:val="765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6" w:customStyle="1">
    <w:name w:val="Bordered"/>
    <w:basedOn w:val="765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7" w:customStyle="1">
    <w:name w:val="Bordered - Accent 1"/>
    <w:basedOn w:val="765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888" w:customStyle="1">
    <w:name w:val="Bordered - Accent 2"/>
    <w:basedOn w:val="765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89" w:customStyle="1">
    <w:name w:val="Bordered - Accent 3"/>
    <w:basedOn w:val="765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90" w:customStyle="1">
    <w:name w:val="Bordered - Accent 4"/>
    <w:basedOn w:val="765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91" w:customStyle="1">
    <w:name w:val="Bordered - Accent 5"/>
    <w:basedOn w:val="765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892" w:customStyle="1">
    <w:name w:val="Bordered - Accent 6"/>
    <w:basedOn w:val="765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93" w:customStyle="1">
    <w:name w:val="Title Char"/>
    <w:basedOn w:val="764"/>
    <w:uiPriority w:val="10"/>
    <w:qFormat/>
    <w:rPr>
      <w:sz w:val="48"/>
      <w:szCs w:val="48"/>
    </w:rPr>
  </w:style>
  <w:style w:type="character" w:styleId="894" w:customStyle="1">
    <w:name w:val="Subtitle Char"/>
    <w:basedOn w:val="764"/>
    <w:uiPriority w:val="11"/>
    <w:qFormat/>
    <w:rPr>
      <w:sz w:val="24"/>
      <w:szCs w:val="24"/>
    </w:rPr>
  </w:style>
  <w:style w:type="character" w:styleId="895" w:customStyle="1">
    <w:name w:val="Header Char"/>
    <w:basedOn w:val="764"/>
    <w:uiPriority w:val="99"/>
    <w:qFormat/>
  </w:style>
  <w:style w:type="character" w:styleId="896" w:customStyle="1">
    <w:name w:val="Caption Char"/>
    <w:uiPriority w:val="99"/>
    <w:qFormat/>
  </w:style>
  <w:style w:type="character" w:styleId="897" w:customStyle="1">
    <w:name w:val="Footnote Text Char"/>
    <w:uiPriority w:val="99"/>
    <w:qFormat/>
    <w:rPr>
      <w:sz w:val="18"/>
    </w:rPr>
  </w:style>
  <w:style w:type="character" w:styleId="898" w:customStyle="1">
    <w:name w:val="Endnote Text Char"/>
    <w:uiPriority w:val="99"/>
    <w:qFormat/>
    <w:rPr>
      <w:sz w:val="20"/>
    </w:rPr>
  </w:style>
  <w:style w:type="character" w:styleId="899" w:customStyle="1">
    <w:name w:val="Heading 1 Char"/>
    <w:basedOn w:val="764"/>
    <w:uiPriority w:val="9"/>
    <w:qFormat/>
    <w:rPr>
      <w:rFonts w:ascii="Arial" w:hAnsi="Arial" w:eastAsia="Arial" w:cs="Arial"/>
      <w:sz w:val="40"/>
      <w:szCs w:val="40"/>
    </w:rPr>
  </w:style>
  <w:style w:type="character" w:styleId="900" w:customStyle="1">
    <w:name w:val="Heading 2 Char"/>
    <w:basedOn w:val="764"/>
    <w:uiPriority w:val="9"/>
    <w:qFormat/>
    <w:rPr>
      <w:rFonts w:ascii="Arial" w:hAnsi="Arial" w:eastAsia="Arial" w:cs="Arial"/>
      <w:sz w:val="34"/>
    </w:rPr>
  </w:style>
  <w:style w:type="character" w:styleId="901" w:customStyle="1">
    <w:name w:val="Heading 3 Char"/>
    <w:basedOn w:val="764"/>
    <w:uiPriority w:val="9"/>
    <w:qFormat/>
    <w:rPr>
      <w:rFonts w:ascii="Arial" w:hAnsi="Arial" w:eastAsia="Arial" w:cs="Arial"/>
      <w:sz w:val="30"/>
      <w:szCs w:val="30"/>
    </w:rPr>
  </w:style>
  <w:style w:type="character" w:styleId="902" w:customStyle="1">
    <w:name w:val="Heading 4 Char"/>
    <w:basedOn w:val="764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903" w:customStyle="1">
    <w:name w:val="Heading 5 Char"/>
    <w:basedOn w:val="764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904" w:customStyle="1">
    <w:name w:val="Heading 6 Char"/>
    <w:basedOn w:val="764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905" w:customStyle="1">
    <w:name w:val="Heading 7 Char"/>
    <w:basedOn w:val="764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906" w:customStyle="1">
    <w:name w:val="Heading 8 Char"/>
    <w:basedOn w:val="764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07" w:customStyle="1">
    <w:name w:val="Heading 9 Char"/>
    <w:basedOn w:val="764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908" w:customStyle="1">
    <w:name w:val="Заголовок Знак"/>
    <w:basedOn w:val="764"/>
    <w:uiPriority w:val="10"/>
    <w:qFormat/>
    <w:rPr>
      <w:sz w:val="48"/>
      <w:szCs w:val="48"/>
    </w:rPr>
  </w:style>
  <w:style w:type="character" w:styleId="909" w:customStyle="1">
    <w:name w:val="Подзаголовок Знак1"/>
    <w:basedOn w:val="764"/>
    <w:uiPriority w:val="11"/>
    <w:qFormat/>
    <w:rPr>
      <w:sz w:val="24"/>
      <w:szCs w:val="24"/>
    </w:rPr>
  </w:style>
  <w:style w:type="character" w:styleId="910" w:customStyle="1">
    <w:name w:val="Quote Char"/>
    <w:uiPriority w:val="29"/>
    <w:qFormat/>
    <w:rPr>
      <w:i/>
    </w:rPr>
  </w:style>
  <w:style w:type="character" w:styleId="911" w:customStyle="1">
    <w:name w:val="Intense Quote Char"/>
    <w:uiPriority w:val="30"/>
    <w:qFormat/>
    <w:rPr>
      <w:i/>
    </w:rPr>
  </w:style>
  <w:style w:type="character" w:styleId="912" w:customStyle="1">
    <w:name w:val="Верхний колонтитул Знак1"/>
    <w:basedOn w:val="764"/>
    <w:uiPriority w:val="99"/>
    <w:qFormat/>
  </w:style>
  <w:style w:type="character" w:styleId="913" w:customStyle="1">
    <w:name w:val="Footer Char"/>
    <w:basedOn w:val="764"/>
    <w:uiPriority w:val="99"/>
    <w:qFormat/>
  </w:style>
  <w:style w:type="character" w:styleId="914" w:customStyle="1">
    <w:name w:val="Нижний колонтитул Знак"/>
    <w:uiPriority w:val="99"/>
    <w:qFormat/>
  </w:style>
  <w:style w:type="character" w:styleId="915" w:customStyle="1">
    <w:name w:val="Текст сноски Знак1"/>
    <w:uiPriority w:val="99"/>
    <w:qFormat/>
    <w:rPr>
      <w:sz w:val="18"/>
    </w:rPr>
  </w:style>
  <w:style w:type="character" w:styleId="916" w:customStyle="1">
    <w:name w:val="Текст концевой сноски Знак1"/>
    <w:uiPriority w:val="99"/>
    <w:qFormat/>
    <w:rPr>
      <w:sz w:val="20"/>
    </w:rPr>
  </w:style>
  <w:style w:type="character" w:styleId="917" w:customStyle="1">
    <w:name w:val="Символ сноски"/>
    <w:uiPriority w:val="99"/>
    <w:qFormat/>
    <w:rPr>
      <w:vertAlign w:val="superscript"/>
    </w:rPr>
  </w:style>
  <w:style w:type="character" w:styleId="918">
    <w:name w:val="footnote reference"/>
    <w:rPr>
      <w:vertAlign w:val="superscript"/>
    </w:rPr>
  </w:style>
  <w:style w:type="character" w:styleId="919">
    <w:name w:val="page number"/>
    <w:basedOn w:val="764"/>
    <w:qFormat/>
  </w:style>
  <w:style w:type="character" w:styleId="920">
    <w:name w:val="Hyperlink"/>
    <w:uiPriority w:val="99"/>
    <w:rPr>
      <w:color w:val="0000ff"/>
      <w:u w:val="single"/>
    </w:rPr>
  </w:style>
  <w:style w:type="character" w:styleId="921">
    <w:name w:val="annotation reference"/>
    <w:uiPriority w:val="99"/>
    <w:semiHidden/>
    <w:qFormat/>
    <w:rPr>
      <w:sz w:val="16"/>
      <w:szCs w:val="16"/>
    </w:rPr>
  </w:style>
  <w:style w:type="character" w:styleId="922">
    <w:name w:val="Strong"/>
    <w:qFormat/>
    <w:rPr>
      <w:b/>
      <w:bCs/>
    </w:rPr>
  </w:style>
  <w:style w:type="character" w:styleId="923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924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925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926" w:customStyle="1">
    <w:name w:val="Заголовок 1 Знак"/>
    <w:qFormat/>
    <w:rPr>
      <w:rFonts w:eastAsia="Calibri"/>
      <w:b/>
      <w:sz w:val="28"/>
      <w:szCs w:val="28"/>
    </w:rPr>
  </w:style>
  <w:style w:type="character" w:styleId="927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928" w:customStyle="1">
    <w:name w:val="Заголовок 3 Знак"/>
    <w:qFormat/>
    <w:rPr>
      <w:rFonts w:eastAsia="Calibri"/>
      <w:b/>
      <w:sz w:val="24"/>
      <w:szCs w:val="24"/>
    </w:rPr>
  </w:style>
  <w:style w:type="character" w:styleId="929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930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31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932" w:customStyle="1">
    <w:name w:val="Название Знак"/>
    <w:uiPriority w:val="10"/>
    <w:qFormat/>
    <w:rPr>
      <w:sz w:val="28"/>
    </w:rPr>
  </w:style>
  <w:style w:type="character" w:styleId="933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934">
    <w:name w:val="Emphasis"/>
    <w:uiPriority w:val="20"/>
    <w:qFormat/>
    <w:rPr>
      <w:i/>
      <w:iCs/>
    </w:rPr>
  </w:style>
  <w:style w:type="character" w:styleId="935" w:customStyle="1">
    <w:name w:val="Цитата 2 Знак"/>
    <w:uiPriority w:val="29"/>
    <w:qFormat/>
    <w:rPr>
      <w:rFonts w:ascii="Calibri" w:hAnsi="Calibri" w:eastAsia="Calibri"/>
      <w:i/>
      <w:iCs/>
      <w:color w:val="000000"/>
    </w:rPr>
  </w:style>
  <w:style w:type="character" w:styleId="936" w:customStyle="1">
    <w:name w:val="Выделенная цитата Знак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937">
    <w:name w:val="Subtle Emphasis"/>
    <w:uiPriority w:val="19"/>
    <w:qFormat/>
    <w:rPr>
      <w:i/>
      <w:iCs/>
      <w:color w:val="808080"/>
    </w:rPr>
  </w:style>
  <w:style w:type="character" w:styleId="938">
    <w:name w:val="Intense Emphasis"/>
    <w:uiPriority w:val="21"/>
    <w:qFormat/>
    <w:rPr>
      <w:b/>
      <w:bCs/>
      <w:i/>
      <w:iCs/>
      <w:color w:val="4f81bd"/>
    </w:rPr>
  </w:style>
  <w:style w:type="character" w:styleId="939">
    <w:name w:val="Subtle Reference"/>
    <w:uiPriority w:val="31"/>
    <w:qFormat/>
    <w:rPr>
      <w:smallCaps/>
      <w:color w:val="c0504d"/>
      <w:u w:val="single"/>
    </w:rPr>
  </w:style>
  <w:style w:type="character" w:styleId="940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41">
    <w:name w:val="Book Title"/>
    <w:uiPriority w:val="33"/>
    <w:qFormat/>
    <w:rPr>
      <w:b/>
      <w:bCs/>
      <w:smallCaps/>
      <w:spacing w:val="5"/>
    </w:rPr>
  </w:style>
  <w:style w:type="character" w:styleId="942" w:customStyle="1">
    <w:name w:val="Электронная подпись Знак"/>
    <w:uiPriority w:val="99"/>
    <w:qFormat/>
    <w:rPr>
      <w:rFonts w:eastAsia="Calibri"/>
      <w:sz w:val="24"/>
      <w:szCs w:val="24"/>
    </w:rPr>
  </w:style>
  <w:style w:type="character" w:styleId="943" w:customStyle="1">
    <w:name w:val="Подпункт Знак1"/>
    <w:qFormat/>
    <w:rPr>
      <w:sz w:val="28"/>
    </w:rPr>
  </w:style>
  <w:style w:type="character" w:styleId="944" w:customStyle="1">
    <w:name w:val="Текст сноски Знак"/>
    <w:uiPriority w:val="99"/>
    <w:qFormat/>
  </w:style>
  <w:style w:type="character" w:styleId="945" w:customStyle="1">
    <w:name w:val="Основной текст Знак"/>
    <w:qFormat/>
    <w:rPr>
      <w:sz w:val="28"/>
      <w:szCs w:val="28"/>
    </w:rPr>
  </w:style>
  <w:style w:type="character" w:styleId="946" w:customStyle="1">
    <w:name w:val="blk"/>
    <w:qFormat/>
  </w:style>
  <w:style w:type="character" w:styleId="947" w:customStyle="1">
    <w:name w:val="Абзац списка Знак"/>
    <w:uiPriority w:val="34"/>
    <w:qFormat/>
    <w:rPr>
      <w:rFonts w:eastAsia="Calibri"/>
      <w:sz w:val="24"/>
      <w:szCs w:val="24"/>
    </w:rPr>
  </w:style>
  <w:style w:type="character" w:styleId="948" w:customStyle="1">
    <w:name w:val="комментарий"/>
    <w:qFormat/>
    <w:rPr>
      <w:b/>
      <w:i/>
      <w:shd w:val="clear" w:color="auto" w:fill="ffff99"/>
    </w:rPr>
  </w:style>
  <w:style w:type="character" w:styleId="949" w:customStyle="1">
    <w:name w:val="Подподпункт Знак"/>
    <w:qFormat/>
    <w:rPr>
      <w:sz w:val="26"/>
      <w:szCs w:val="26"/>
    </w:rPr>
  </w:style>
  <w:style w:type="character" w:styleId="950" w:customStyle="1">
    <w:name w:val="УРОВЕНЬ_Абзац_тип3 Знак"/>
    <w:qFormat/>
    <w:rPr>
      <w:rFonts w:eastAsia="Calibri"/>
      <w:sz w:val="26"/>
      <w:szCs w:val="28"/>
      <w:lang w:eastAsia="en-US"/>
    </w:rPr>
  </w:style>
  <w:style w:type="character" w:styleId="951" w:customStyle="1">
    <w:name w:val="Верхний колонтитул Знак"/>
    <w:uiPriority w:val="99"/>
    <w:qFormat/>
    <w:rPr>
      <w:sz w:val="24"/>
      <w:szCs w:val="24"/>
    </w:rPr>
  </w:style>
  <w:style w:type="character" w:styleId="952" w:customStyle="1">
    <w:name w:val="Текст примечания Знак"/>
    <w:semiHidden/>
    <w:qFormat/>
  </w:style>
  <w:style w:type="character" w:styleId="953" w:customStyle="1">
    <w:name w:val="Текст концевой сноски Знак"/>
    <w:basedOn w:val="764"/>
    <w:qFormat/>
  </w:style>
  <w:style w:type="character" w:styleId="954" w:customStyle="1">
    <w:name w:val="Символ концевой сноски"/>
    <w:qFormat/>
    <w:rPr>
      <w:vertAlign w:val="superscript"/>
    </w:rPr>
  </w:style>
  <w:style w:type="character" w:styleId="955">
    <w:name w:val="endnote reference"/>
    <w:rPr>
      <w:vertAlign w:val="superscript"/>
    </w:rPr>
  </w:style>
  <w:style w:type="character" w:styleId="956" w:customStyle="1">
    <w:name w:val="Пункт2 Знак"/>
    <w:qFormat/>
    <w:rPr>
      <w:b/>
      <w:sz w:val="28"/>
    </w:rPr>
  </w:style>
  <w:style w:type="character" w:styleId="957" w:customStyle="1">
    <w:name w:val="УРОВЕНЬ_1. Знак"/>
    <w:qFormat/>
    <w:rPr>
      <w:rFonts w:eastAsia="Calibri"/>
      <w:caps/>
      <w:sz w:val="28"/>
      <w:szCs w:val="28"/>
      <w:lang w:eastAsia="en-US"/>
    </w:rPr>
  </w:style>
  <w:style w:type="character" w:styleId="958" w:customStyle="1">
    <w:name w:val="Неразрешенное упоминание1"/>
    <w:basedOn w:val="764"/>
    <w:uiPriority w:val="99"/>
    <w:semiHidden/>
    <w:unhideWhenUsed/>
    <w:qFormat/>
    <w:rPr>
      <w:color w:val="605e5c"/>
      <w:shd w:val="clear" w:color="auto" w:fill="e1dfdd"/>
    </w:rPr>
  </w:style>
  <w:style w:type="character" w:styleId="959" w:customStyle="1">
    <w:name w:val="Основной текст с отступом 3 Знак"/>
    <w:qFormat/>
    <w:rPr>
      <w:sz w:val="16"/>
      <w:szCs w:val="16"/>
    </w:rPr>
  </w:style>
  <w:style w:type="character" w:styleId="960" w:customStyle="1">
    <w:name w:val="ConsPlusNormal Знак"/>
    <w:qFormat/>
    <w:rPr>
      <w:rFonts w:ascii="Arial" w:hAnsi="Arial" w:cs="Arial"/>
    </w:rPr>
  </w:style>
  <w:style w:type="character" w:styleId="961" w:customStyle="1">
    <w:name w:val="Ссылка указателя"/>
    <w:qFormat/>
  </w:style>
  <w:style w:type="character" w:styleId="962" w:customStyle="1">
    <w:name w:val="line number1"/>
    <w:qFormat/>
  </w:style>
  <w:style w:type="character" w:styleId="963">
    <w:name w:val="line number"/>
    <w:qFormat/>
  </w:style>
  <w:style w:type="paragraph" w:styleId="964">
    <w:name w:val="Title"/>
    <w:basedOn w:val="754"/>
    <w:next w:val="965"/>
    <w:qFormat/>
    <w:pPr>
      <w:keepNext/>
      <w:spacing w:before="240" w:after="120"/>
    </w:pPr>
    <w:rPr>
      <w:rFonts w:ascii="Liberation Sans" w:hAnsi="Liberation Sans" w:eastAsia="Arial Unicode MS"/>
    </w:rPr>
  </w:style>
  <w:style w:type="paragraph" w:styleId="965">
    <w:name w:val="Body Text"/>
    <w:basedOn w:val="754"/>
    <w:pPr>
      <w:spacing w:after="120"/>
    </w:pPr>
  </w:style>
  <w:style w:type="paragraph" w:styleId="966">
    <w:name w:val="List"/>
    <w:basedOn w:val="965"/>
  </w:style>
  <w:style w:type="paragraph" w:styleId="967">
    <w:name w:val="Caption"/>
    <w:basedOn w:val="754"/>
    <w:link w:val="896"/>
    <w:qFormat/>
    <w:pPr>
      <w:spacing w:before="120" w:after="120"/>
      <w:suppressLineNumbers/>
    </w:pPr>
    <w:rPr>
      <w:i/>
      <w:iCs/>
      <w:sz w:val="24"/>
      <w:szCs w:val="24"/>
    </w:rPr>
  </w:style>
  <w:style w:type="paragraph" w:styleId="968">
    <w:name w:val="index heading"/>
    <w:basedOn w:val="964"/>
  </w:style>
  <w:style w:type="paragraph" w:styleId="969">
    <w:name w:val="table of figures"/>
    <w:basedOn w:val="754"/>
    <w:uiPriority w:val="99"/>
    <w:unhideWhenUsed/>
    <w:qFormat/>
  </w:style>
  <w:style w:type="paragraph" w:styleId="970" w:customStyle="1">
    <w:name w:val="index heading1"/>
    <w:basedOn w:val="964"/>
    <w:qFormat/>
  </w:style>
  <w:style w:type="paragraph" w:styleId="971" w:customStyle="1">
    <w:name w:val="caption1"/>
    <w:basedOn w:val="754"/>
    <w:qFormat/>
    <w:pPr>
      <w:spacing w:before="120" w:after="120"/>
      <w:suppressLineNumbers/>
    </w:pPr>
    <w:rPr>
      <w:i/>
      <w:iCs/>
      <w:sz w:val="24"/>
      <w:szCs w:val="24"/>
    </w:rPr>
  </w:style>
  <w:style w:type="paragraph" w:styleId="972" w:customStyle="1">
    <w:name w:val="index heading11"/>
    <w:basedOn w:val="964"/>
    <w:qFormat/>
  </w:style>
  <w:style w:type="paragraph" w:styleId="973" w:customStyle="1">
    <w:name w:val="Название раздела инструкции"/>
    <w:basedOn w:val="754"/>
    <w:qFormat/>
    <w:pPr>
      <w:jc w:val="center"/>
    </w:pPr>
    <w:rPr>
      <w:b/>
    </w:rPr>
  </w:style>
  <w:style w:type="paragraph" w:styleId="974" w:customStyle="1">
    <w:name w:val="Раздел положения"/>
    <w:basedOn w:val="754"/>
    <w:qFormat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75" w:customStyle="1">
    <w:name w:val="Подраздел раздела положения"/>
    <w:basedOn w:val="754"/>
    <w:qFormat/>
    <w:pPr>
      <w:numPr>
        <w:ilvl w:val="1"/>
        <w:numId w:val="1"/>
      </w:numPr>
      <w:jc w:val="both"/>
      <w:spacing w:before="80" w:after="80"/>
    </w:pPr>
  </w:style>
  <w:style w:type="paragraph" w:styleId="976">
    <w:name w:val="footnote text"/>
    <w:basedOn w:val="754"/>
    <w:uiPriority w:val="99"/>
    <w:rPr>
      <w:sz w:val="20"/>
      <w:szCs w:val="20"/>
    </w:rPr>
  </w:style>
  <w:style w:type="paragraph" w:styleId="977" w:customStyle="1">
    <w:name w:val="Шапка 1"/>
    <w:basedOn w:val="754"/>
    <w:qFormat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78" w:customStyle="1">
    <w:name w:val="Шапка 2"/>
    <w:basedOn w:val="754"/>
    <w:qFormat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79" w:customStyle="1">
    <w:name w:val="Шапка 3"/>
    <w:basedOn w:val="754"/>
    <w:qFormat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80" w:customStyle="1">
    <w:name w:val="Название1"/>
    <w:basedOn w:val="754"/>
    <w:uiPriority w:val="10"/>
    <w:qFormat/>
    <w:pPr>
      <w:jc w:val="center"/>
    </w:pPr>
    <w:rPr>
      <w:sz w:val="20"/>
      <w:szCs w:val="20"/>
    </w:rPr>
  </w:style>
  <w:style w:type="paragraph" w:styleId="981" w:customStyle="1">
    <w:name w:val="Колонтитул"/>
    <w:basedOn w:val="754"/>
    <w:qFormat/>
  </w:style>
  <w:style w:type="paragraph" w:styleId="982">
    <w:name w:val="Header"/>
    <w:basedOn w:val="754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83">
    <w:name w:val="Body Text Indent"/>
    <w:basedOn w:val="754"/>
    <w:pPr>
      <w:ind w:left="360"/>
    </w:pPr>
    <w:rPr>
      <w:sz w:val="24"/>
      <w:szCs w:val="24"/>
    </w:rPr>
  </w:style>
  <w:style w:type="paragraph" w:styleId="984">
    <w:name w:val="Footer"/>
    <w:basedOn w:val="754"/>
    <w:pPr>
      <w:tabs>
        <w:tab w:val="center" w:pos="4677" w:leader="none"/>
        <w:tab w:val="right" w:pos="9355" w:leader="none"/>
      </w:tabs>
    </w:pPr>
  </w:style>
  <w:style w:type="paragraph" w:styleId="985">
    <w:name w:val="Body Text Indent 2"/>
    <w:basedOn w:val="754"/>
    <w:qFormat/>
    <w:pPr>
      <w:ind w:left="283"/>
      <w:spacing w:after="120" w:line="480" w:lineRule="auto"/>
    </w:pPr>
  </w:style>
  <w:style w:type="paragraph" w:styleId="986">
    <w:name w:val="Body Text 3"/>
    <w:basedOn w:val="754"/>
    <w:qFormat/>
    <w:pPr>
      <w:spacing w:after="120"/>
    </w:pPr>
    <w:rPr>
      <w:sz w:val="16"/>
      <w:szCs w:val="16"/>
    </w:rPr>
  </w:style>
  <w:style w:type="paragraph" w:styleId="987">
    <w:name w:val="Body Text Indent 3"/>
    <w:basedOn w:val="754"/>
    <w:qFormat/>
    <w:pPr>
      <w:ind w:left="283"/>
      <w:spacing w:after="120"/>
    </w:pPr>
    <w:rPr>
      <w:sz w:val="16"/>
      <w:szCs w:val="16"/>
    </w:rPr>
  </w:style>
  <w:style w:type="paragraph" w:styleId="988">
    <w:name w:val="Body Text 2"/>
    <w:basedOn w:val="754"/>
    <w:qFormat/>
    <w:pPr>
      <w:spacing w:after="120" w:line="480" w:lineRule="auto"/>
    </w:pPr>
  </w:style>
  <w:style w:type="paragraph" w:styleId="989">
    <w:name w:val="Block Text"/>
    <w:basedOn w:val="754"/>
    <w:qFormat/>
    <w:pPr>
      <w:ind w:left="-567" w:right="-766"/>
      <w:jc w:val="center"/>
    </w:pPr>
    <w:rPr>
      <w:b/>
      <w:bCs/>
      <w:sz w:val="24"/>
      <w:szCs w:val="20"/>
    </w:rPr>
  </w:style>
  <w:style w:type="paragraph" w:styleId="990" w:customStyle="1">
    <w:name w:val="Подпункт"/>
    <w:basedOn w:val="754"/>
    <w:qFormat/>
    <w:pPr>
      <w:ind w:left="1134" w:hanging="1134"/>
      <w:jc w:val="both"/>
      <w:spacing w:line="360" w:lineRule="auto"/>
      <w:tabs>
        <w:tab w:val="left" w:pos="1134" w:leader="none"/>
      </w:tabs>
    </w:pPr>
    <w:rPr>
      <w:sz w:val="20"/>
      <w:szCs w:val="20"/>
    </w:rPr>
  </w:style>
  <w:style w:type="paragraph" w:styleId="991" w:customStyle="1">
    <w:name w:val="Пункт2"/>
    <w:basedOn w:val="754"/>
    <w:qFormat/>
    <w:pPr>
      <w:ind w:left="1134" w:hanging="1134"/>
      <w:keepNext/>
      <w:spacing w:before="240" w:after="120"/>
      <w:tabs>
        <w:tab w:val="left" w:pos="1134" w:leader="none"/>
      </w:tabs>
      <w:outlineLvl w:val="2"/>
    </w:pPr>
    <w:rPr>
      <w:b/>
      <w:sz w:val="20"/>
      <w:szCs w:val="20"/>
    </w:rPr>
  </w:style>
  <w:style w:type="paragraph" w:styleId="992">
    <w:name w:val="toc 1"/>
    <w:basedOn w:val="754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993">
    <w:name w:val="toc 3"/>
    <w:basedOn w:val="754"/>
    <w:uiPriority w:val="39"/>
    <w:pPr>
      <w:ind w:left="280"/>
    </w:pPr>
    <w:rPr>
      <w:rFonts w:cstheme="minorHAnsi"/>
      <w:sz w:val="20"/>
      <w:szCs w:val="20"/>
    </w:rPr>
  </w:style>
  <w:style w:type="paragraph" w:styleId="994" w:customStyle="1">
    <w:name w:val="Раздел регламента"/>
    <w:basedOn w:val="754"/>
    <w:qFormat/>
  </w:style>
  <w:style w:type="paragraph" w:styleId="995" w:customStyle="1">
    <w:name w:val="Приложение к регламенту"/>
    <w:basedOn w:val="754"/>
    <w:qFormat/>
    <w:pPr>
      <w:jc w:val="right"/>
    </w:pPr>
  </w:style>
  <w:style w:type="paragraph" w:styleId="996">
    <w:name w:val="toc 2"/>
    <w:basedOn w:val="754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97">
    <w:name w:val="Balloon Text"/>
    <w:basedOn w:val="754"/>
    <w:semiHidden/>
    <w:qFormat/>
    <w:rPr>
      <w:rFonts w:ascii="Tahoma" w:hAnsi="Tahoma" w:cs="Tahoma"/>
      <w:sz w:val="16"/>
      <w:szCs w:val="16"/>
    </w:rPr>
  </w:style>
  <w:style w:type="paragraph" w:styleId="998">
    <w:name w:val="annotation text"/>
    <w:basedOn w:val="754"/>
    <w:semiHidden/>
    <w:qFormat/>
    <w:rPr>
      <w:sz w:val="20"/>
      <w:szCs w:val="20"/>
    </w:rPr>
  </w:style>
  <w:style w:type="paragraph" w:styleId="999">
    <w:name w:val="annotation subject"/>
    <w:basedOn w:val="998"/>
    <w:semiHidden/>
    <w:qFormat/>
    <w:rPr>
      <w:b/>
      <w:bCs/>
    </w:rPr>
  </w:style>
  <w:style w:type="paragraph" w:styleId="1000" w:customStyle="1">
    <w:name w:val="Обычный (веб)1"/>
    <w:basedOn w:val="754"/>
    <w:uiPriority w:val="99"/>
    <w:qFormat/>
    <w:pPr>
      <w:spacing w:beforeAutospacing="1" w:afterAutospacing="1"/>
    </w:pPr>
    <w:rPr>
      <w:rFonts w:ascii="Arial Unicode MS" w:hAnsi="Arial Unicode MS" w:eastAsia="Arial Unicode MS"/>
      <w:sz w:val="24"/>
      <w:szCs w:val="24"/>
    </w:rPr>
  </w:style>
  <w:style w:type="paragraph" w:styleId="1001">
    <w:name w:val="toc 9"/>
    <w:basedOn w:val="754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1002">
    <w:name w:val="toc 5"/>
    <w:basedOn w:val="754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1003">
    <w:name w:val="toc 4"/>
    <w:basedOn w:val="754"/>
    <w:uiPriority w:val="39"/>
    <w:pPr>
      <w:ind w:left="560"/>
    </w:pPr>
    <w:rPr>
      <w:rFonts w:cstheme="minorHAnsi"/>
      <w:sz w:val="20"/>
      <w:szCs w:val="20"/>
    </w:rPr>
  </w:style>
  <w:style w:type="paragraph" w:styleId="1004" w:customStyle="1">
    <w:name w:val="Раздел положения 2"/>
    <w:basedOn w:val="754"/>
    <w:qFormat/>
    <w:pPr>
      <w:jc w:val="both"/>
      <w:pageBreakBefore/>
      <w:outlineLvl w:val="0"/>
    </w:pPr>
    <w:rPr>
      <w:b/>
    </w:rPr>
  </w:style>
  <w:style w:type="paragraph" w:styleId="1005" w:customStyle="1">
    <w:name w:val="Знак Знак Знак Знак Знак Знак Знак Знак Знак"/>
    <w:basedOn w:val="754"/>
    <w:qFormat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06">
    <w:name w:val="No Spacing"/>
    <w:basedOn w:val="754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1007" w:customStyle="1">
    <w:name w:val="caption11"/>
    <w:basedOn w:val="754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1008">
    <w:name w:val="Subtitle"/>
    <w:basedOn w:val="754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1009">
    <w:name w:val="List Paragraph"/>
    <w:basedOn w:val="754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1010">
    <w:name w:val="Quote"/>
    <w:basedOn w:val="754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paragraph" w:styleId="1011">
    <w:name w:val="Intense Quote"/>
    <w:basedOn w:val="754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1012">
    <w:name w:val="TOC Heading"/>
    <w:basedOn w:val="755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13">
    <w:name w:val="E-mail Signature"/>
    <w:basedOn w:val="754"/>
    <w:uiPriority w:val="99"/>
    <w:unhideWhenUsed/>
    <w:qFormat/>
    <w:rPr>
      <w:rFonts w:eastAsia="Calibri"/>
      <w:sz w:val="24"/>
      <w:szCs w:val="24"/>
    </w:rPr>
  </w:style>
  <w:style w:type="paragraph" w:styleId="1014" w:customStyle="1">
    <w:name w:val="Знак"/>
    <w:basedOn w:val="754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15" w:customStyle="1">
    <w:name w:val="Нумерованный список ур3"/>
    <w:basedOn w:val="754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16" w:customStyle="1">
    <w:name w:val="Список 31"/>
    <w:basedOn w:val="754"/>
    <w:qFormat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17" w:customStyle="1">
    <w:name w:val="Нумерованный список ур2"/>
    <w:basedOn w:val="754"/>
    <w:qFormat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18">
    <w:name w:val="Revision"/>
    <w:uiPriority w:val="99"/>
    <w:semiHidden/>
    <w:qFormat/>
    <w:rPr>
      <w:rFonts w:eastAsia="Calibri"/>
      <w:sz w:val="24"/>
      <w:szCs w:val="24"/>
    </w:rPr>
  </w:style>
  <w:style w:type="paragraph" w:styleId="1019" w:customStyle="1">
    <w:name w:val="ConsPlusNormal"/>
    <w:qFormat/>
    <w:pPr>
      <w:ind w:firstLine="720"/>
      <w:widowControl w:val="off"/>
    </w:pPr>
    <w:rPr>
      <w:rFonts w:ascii="Arial" w:hAnsi="Arial" w:cs="Arial"/>
    </w:rPr>
  </w:style>
  <w:style w:type="paragraph" w:styleId="1020" w:customStyle="1">
    <w:name w:val="Знак Знак3 Знак Знак"/>
    <w:basedOn w:val="754"/>
    <w:qFormat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21" w:customStyle="1">
    <w:name w:val="Пункт"/>
    <w:basedOn w:val="754"/>
    <w:qFormat/>
    <w:pPr>
      <w:ind w:left="1134" w:right="800" w:hanging="1134"/>
      <w:jc w:val="both"/>
      <w:spacing w:before="120" w:line="360" w:lineRule="auto"/>
      <w:widowControl w:val="off"/>
      <w:tabs>
        <w:tab w:val="left" w:pos="1134" w:leader="none"/>
      </w:tabs>
    </w:pPr>
    <w:rPr>
      <w:rFonts w:ascii="Arial" w:hAnsi="Arial"/>
      <w:b/>
      <w:i/>
      <w:sz w:val="20"/>
      <w:szCs w:val="20"/>
    </w:rPr>
  </w:style>
  <w:style w:type="paragraph" w:styleId="1022" w:customStyle="1">
    <w:name w:val="Абзац списка1"/>
    <w:basedOn w:val="754"/>
    <w:qFormat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023" w:customStyle="1">
    <w:name w:val="Таблица"/>
    <w:basedOn w:val="754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paragraph" w:styleId="1024" w:customStyle="1">
    <w:name w:val="Таблица шапка"/>
    <w:basedOn w:val="754"/>
    <w:qFormat/>
    <w:pPr>
      <w:ind w:left="57" w:right="57"/>
      <w:keepNext/>
      <w:spacing w:before="40" w:after="40"/>
    </w:pPr>
    <w:rPr>
      <w:sz w:val="22"/>
      <w:szCs w:val="26"/>
    </w:rPr>
  </w:style>
  <w:style w:type="paragraph" w:styleId="1025" w:customStyle="1">
    <w:name w:val="Подподпункт"/>
    <w:basedOn w:val="990"/>
    <w:qFormat/>
    <w:pPr>
      <w:ind w:left="5104" w:hanging="567"/>
      <w:spacing w:before="120" w:line="240" w:lineRule="auto"/>
      <w:tabs>
        <w:tab w:val="clear" w:pos="1134" w:leader="none"/>
        <w:tab w:val="left" w:pos="5104" w:leader="none"/>
      </w:tabs>
    </w:pPr>
    <w:rPr>
      <w:sz w:val="26"/>
      <w:szCs w:val="26"/>
    </w:rPr>
  </w:style>
  <w:style w:type="paragraph" w:styleId="1026" w:customStyle="1">
    <w:name w:val="УРОВЕНЬ_(а)"/>
    <w:basedOn w:val="1009"/>
    <w:qFormat/>
    <w:pPr>
      <w:numPr>
        <w:ilvl w:val="3"/>
        <w:numId w:val="4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27" w:customStyle="1">
    <w:name w:val="УРОВЕНЬ_-"/>
    <w:basedOn w:val="1009"/>
    <w:qFormat/>
    <w:pPr>
      <w:numPr>
        <w:ilvl w:val="4"/>
        <w:numId w:val="4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28" w:customStyle="1">
    <w:name w:val="УРОВЕНЬ_Абзац_тип2"/>
    <w:basedOn w:val="1009"/>
    <w:qFormat/>
    <w:pPr>
      <w:numPr>
        <w:ilvl w:val="6"/>
        <w:numId w:val="4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29" w:customStyle="1">
    <w:name w:val="УРОВЕНЬ_Абзац_тип3"/>
    <w:basedOn w:val="1009"/>
    <w:qFormat/>
    <w:pPr>
      <w:numPr>
        <w:ilvl w:val="7"/>
        <w:numId w:val="4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30" w:customStyle="1">
    <w:name w:val="УРОВЕНЬ_Подпись"/>
    <w:basedOn w:val="1009"/>
    <w:qFormat/>
    <w:pPr>
      <w:numPr>
        <w:ilvl w:val="5"/>
        <w:numId w:val="4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paragraph" w:styleId="1031" w:customStyle="1">
    <w:name w:val="Стиль Заголовок 1 + по ширине"/>
    <w:basedOn w:val="755"/>
    <w:qFormat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left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032">
    <w:name w:val="endnote text"/>
    <w:basedOn w:val="754"/>
    <w:rPr>
      <w:sz w:val="20"/>
      <w:szCs w:val="20"/>
    </w:rPr>
  </w:style>
  <w:style w:type="paragraph" w:styleId="1033" w:customStyle="1">
    <w:name w:val="Заголовок 2 КВВ"/>
    <w:basedOn w:val="754"/>
    <w:qFormat/>
    <w:pPr>
      <w:numPr>
        <w:ilvl w:val="0"/>
        <w:numId w:val="5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paragraph" w:styleId="1034" w:customStyle="1">
    <w:name w:val="Таблица текст"/>
    <w:basedOn w:val="754"/>
    <w:qFormat/>
    <w:pPr>
      <w:ind w:left="57" w:right="57"/>
      <w:spacing w:before="40" w:after="40"/>
    </w:pPr>
    <w:rPr>
      <w:sz w:val="24"/>
      <w:szCs w:val="26"/>
    </w:rPr>
  </w:style>
  <w:style w:type="paragraph" w:styleId="1035">
    <w:name w:val="Normal (Web)"/>
    <w:basedOn w:val="754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036" w:customStyle="1">
    <w:name w:val="УРОВЕНЬ_1."/>
    <w:basedOn w:val="1009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paragraph" w:styleId="1037">
    <w:name w:val="toc 6"/>
    <w:basedOn w:val="754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38">
    <w:name w:val="toc 7"/>
    <w:basedOn w:val="754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39">
    <w:name w:val="toc 8"/>
    <w:basedOn w:val="754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1040" w:customStyle="1">
    <w:name w:val="headertext"/>
    <w:basedOn w:val="754"/>
    <w:qFormat/>
    <w:pPr>
      <w:spacing w:beforeAutospacing="1" w:afterAutospacing="1"/>
    </w:pPr>
    <w:rPr>
      <w:sz w:val="24"/>
      <w:szCs w:val="24"/>
    </w:rPr>
  </w:style>
  <w:style w:type="paragraph" w:styleId="1041" w:customStyle="1">
    <w:name w:val="formattext"/>
    <w:basedOn w:val="754"/>
    <w:qFormat/>
    <w:pPr>
      <w:spacing w:beforeAutospacing="1" w:afterAutospacing="1"/>
    </w:pPr>
    <w:rPr>
      <w:sz w:val="24"/>
      <w:szCs w:val="24"/>
    </w:rPr>
  </w:style>
  <w:style w:type="paragraph" w:styleId="1042" w:customStyle="1">
    <w:name w:val="ListNum"/>
    <w:qFormat/>
    <w:pPr>
      <w:jc w:val="both"/>
      <w:spacing w:before="60"/>
      <w:widowControl w:val="off"/>
      <w:tabs>
        <w:tab w:val="left" w:pos="284" w:leader="none"/>
        <w:tab w:val="left" w:pos="1260" w:leader="none"/>
      </w:tabs>
    </w:pPr>
    <w:rPr>
      <w:color w:val="000000"/>
      <w:sz w:val="22"/>
      <w:szCs w:val="22"/>
    </w:rPr>
  </w:style>
  <w:style w:type="paragraph" w:styleId="1043" w:customStyle="1">
    <w:name w:val="Default"/>
    <w:qFormat/>
    <w:rPr>
      <w:color w:val="000000"/>
      <w:sz w:val="24"/>
      <w:szCs w:val="24"/>
    </w:rPr>
  </w:style>
  <w:style w:type="paragraph" w:styleId="1044" w:customStyle="1">
    <w:name w:val="Содержимое врезки"/>
    <w:basedOn w:val="754"/>
    <w:qFormat/>
  </w:style>
  <w:style w:type="paragraph" w:styleId="1045" w:customStyle="1">
    <w:name w:val="Содержимое таблицы"/>
    <w:basedOn w:val="754"/>
    <w:qFormat/>
    <w:pPr>
      <w:widowControl w:val="off"/>
      <w:suppressLineNumbers/>
    </w:pPr>
  </w:style>
  <w:style w:type="paragraph" w:styleId="1046" w:customStyle="1">
    <w:name w:val="Заголовок таблицы"/>
    <w:basedOn w:val="1045"/>
    <w:qFormat/>
    <w:pPr>
      <w:jc w:val="center"/>
    </w:pPr>
    <w:rPr>
      <w:b/>
      <w:bCs/>
    </w:rPr>
  </w:style>
  <w:style w:type="numbering" w:styleId="1047" w:customStyle="1">
    <w:name w:val="Стиль1"/>
    <w:uiPriority w:val="99"/>
    <w:qFormat/>
  </w:style>
  <w:style w:type="numbering" w:styleId="1048" w:customStyle="1">
    <w:name w:val="Стиль2"/>
    <w:uiPriority w:val="99"/>
    <w:qFormat/>
  </w:style>
  <w:style w:type="paragraph" w:styleId="1049" w:customStyle="1">
    <w:name w:val="Main 14"/>
    <w:basedOn w:val="861"/>
    <w:uiPriority w:val="99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Relationship Id="rId12" Type="http://schemas.openxmlformats.org/officeDocument/2006/relationships/hyperlink" Target="https://login.consultant.ru/link/?req=doc&amp;base=LAW&amp;n=494318&amp;dst=100007" TargetMode="External"/><Relationship Id="rId13" Type="http://schemas.openxmlformats.org/officeDocument/2006/relationships/hyperlink" Target="https://login.consultant.ru/link/?req=doc&amp;base=LAW&amp;n=494318&amp;dst=100007" TargetMode="External"/><Relationship Id="rId14" Type="http://schemas.openxmlformats.org/officeDocument/2006/relationships/hyperlink" Target="https://login.consultant.ru/link/?req=doc&amp;base=LAW&amp;n=494318&amp;dst=100007" TargetMode="External"/><Relationship Id="rId15" Type="http://schemas.openxmlformats.org/officeDocument/2006/relationships/hyperlink" Target="https://login.consultant.ru/link/?req=doc&amp;base=LAW&amp;n=494318&amp;dst=100007" TargetMode="External"/><Relationship Id="rId16" Type="http://schemas.openxmlformats.org/officeDocument/2006/relationships/comments" Target="comments.xml" /><Relationship Id="rId17" Type="http://schemas.microsoft.com/office/2011/relationships/commentsExtended" Target="commentsExtended.xml" /><Relationship Id="rId18" Type="http://schemas.microsoft.com/office/2018/08/relationships/commentsExtensible" Target="commentsExtensible.xml" /><Relationship Id="rId19" Type="http://schemas.microsoft.com/office/2016/09/relationships/commentsIds" Target="commentsIds.xml" /><Relationship Id="rId20" Type="http://schemas.microsoft.com/office/2011/relationships/people" Target="people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137A9-FDCB-48C7-BB28-C95B7617F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dc:language>ru-RU</dc:language>
  <cp:lastModifiedBy>nekhoroshikh_na@DGK.RU</cp:lastModifiedBy>
  <cp:revision>28</cp:revision>
  <dcterms:created xsi:type="dcterms:W3CDTF">2026-04-24T02:58:00Z</dcterms:created>
  <dcterms:modified xsi:type="dcterms:W3CDTF">2026-06-15T09:07:08Z</dcterms:modified>
</cp:coreProperties>
</file>